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44"/>
          <w:szCs w:val="44"/>
        </w:rPr>
      </w:pPr>
      <w:r>
        <w:rPr>
          <w:rFonts w:hint="eastAsia" w:ascii="黑体" w:hAnsi="黑体" w:eastAsia="黑体" w:cs="黑体"/>
          <w:sz w:val="44"/>
          <w:szCs w:val="44"/>
          <w:lang w:eastAsia="zh-CN"/>
        </w:rPr>
        <w:t>沙湾区申报</w:t>
      </w:r>
      <w:r>
        <w:rPr>
          <w:rFonts w:hint="eastAsia" w:ascii="黑体" w:hAnsi="黑体" w:eastAsia="黑体" w:cs="黑体"/>
          <w:sz w:val="44"/>
          <w:szCs w:val="44"/>
          <w:lang w:val="en-US" w:eastAsia="zh-CN"/>
        </w:rPr>
        <w:t>2025年财政衔接推进乡村振兴补助资金储备项</w:t>
      </w:r>
      <w:r>
        <w:rPr>
          <w:rFonts w:hint="eastAsia" w:ascii="黑体" w:hAnsi="黑体" w:eastAsia="黑体" w:cs="黑体"/>
          <w:sz w:val="44"/>
          <w:szCs w:val="44"/>
        </w:rPr>
        <w:t>目库</w:t>
      </w:r>
      <w:r>
        <w:rPr>
          <w:rFonts w:hint="eastAsia" w:ascii="黑体" w:hAnsi="黑体" w:eastAsia="黑体" w:cs="黑体"/>
          <w:sz w:val="44"/>
          <w:szCs w:val="44"/>
          <w:lang w:eastAsia="zh-CN"/>
        </w:rPr>
        <w:t>计划</w:t>
      </w:r>
      <w:r>
        <w:rPr>
          <w:rFonts w:hint="eastAsia" w:ascii="黑体" w:hAnsi="黑体" w:eastAsia="黑体" w:cs="黑体"/>
          <w:sz w:val="44"/>
          <w:szCs w:val="44"/>
        </w:rPr>
        <w:t>的公告</w:t>
      </w:r>
    </w:p>
    <w:p>
      <w:pPr>
        <w:rPr>
          <w:rFonts w:hint="eastAsia" w:ascii="仿宋" w:hAnsi="仿宋" w:eastAsia="仿宋" w:cs="仿宋"/>
          <w:sz w:val="32"/>
          <w:szCs w:val="32"/>
        </w:rPr>
      </w:pP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根据四川省农业农村厅《关于做好2025年度县级巩固拓展脱贫攻坚成果和乡村振兴项目库建设工作的通知》(N[2024]一2623号）文件要求</w:t>
      </w:r>
      <w:r>
        <w:rPr>
          <w:rFonts w:hint="eastAsia" w:ascii="仿宋" w:hAnsi="仿宋" w:eastAsia="仿宋" w:cs="仿宋"/>
          <w:sz w:val="32"/>
          <w:szCs w:val="32"/>
          <w:lang w:eastAsia="zh-CN"/>
        </w:rPr>
        <w:t>，沙湾区</w:t>
      </w:r>
      <w:r>
        <w:rPr>
          <w:rFonts w:hint="eastAsia" w:ascii="仿宋" w:hAnsi="仿宋" w:eastAsia="仿宋" w:cs="仿宋"/>
          <w:sz w:val="32"/>
          <w:szCs w:val="32"/>
          <w:lang w:val="en-US" w:eastAsia="zh-CN"/>
        </w:rPr>
        <w:t>2025年财政衔接推进乡村振兴补助资金</w:t>
      </w:r>
      <w:r>
        <w:rPr>
          <w:rFonts w:hint="eastAsia" w:ascii="仿宋" w:hAnsi="仿宋" w:eastAsia="仿宋" w:cs="仿宋"/>
          <w:sz w:val="32"/>
          <w:szCs w:val="32"/>
          <w:lang w:eastAsia="zh-CN"/>
        </w:rPr>
        <w:t>项目库计划</w:t>
      </w:r>
      <w:r>
        <w:rPr>
          <w:rFonts w:hint="eastAsia" w:ascii="仿宋" w:hAnsi="仿宋" w:eastAsia="仿宋" w:cs="仿宋"/>
          <w:sz w:val="32"/>
          <w:szCs w:val="32"/>
          <w:lang w:val="en-US" w:eastAsia="zh-CN"/>
        </w:rPr>
        <w:t>项目107个，投入资金</w:t>
      </w:r>
      <w:r>
        <w:rPr>
          <w:rFonts w:hint="eastAsia" w:ascii="仿宋" w:hAnsi="仿宋" w:eastAsia="仿宋" w:cs="仿宋"/>
          <w:color w:val="auto"/>
          <w:sz w:val="32"/>
          <w:szCs w:val="32"/>
          <w:lang w:val="en-US" w:eastAsia="zh-CN"/>
        </w:rPr>
        <w:t>11589.09</w:t>
      </w:r>
      <w:r>
        <w:rPr>
          <w:rFonts w:hint="eastAsia" w:ascii="仿宋" w:hAnsi="仿宋" w:eastAsia="仿宋" w:cs="仿宋"/>
          <w:sz w:val="32"/>
          <w:szCs w:val="32"/>
          <w:lang w:val="en-US" w:eastAsia="zh-CN"/>
        </w:rPr>
        <w:t>万元，申请补助财政衔接资金10322.19万元，已</w:t>
      </w:r>
      <w:r>
        <w:rPr>
          <w:rFonts w:hint="eastAsia" w:ascii="仿宋" w:hAnsi="仿宋" w:eastAsia="仿宋" w:cs="仿宋"/>
          <w:sz w:val="32"/>
          <w:szCs w:val="32"/>
          <w:lang w:eastAsia="zh-CN"/>
        </w:rPr>
        <w:t>报中共沙湾区委农村工作领导小组同意并公示，现予以公告</w:t>
      </w:r>
      <w:r>
        <w:rPr>
          <w:rFonts w:hint="eastAsia" w:ascii="仿宋" w:hAnsi="仿宋" w:eastAsia="仿宋" w:cs="仿宋"/>
          <w:sz w:val="32"/>
          <w:szCs w:val="32"/>
          <w:lang w:val="en-US" w:eastAsia="zh-CN"/>
        </w:rPr>
        <w:t>,敬请社会各界和广大群众监督。 </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监督电话：08333441255</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意见收集人：张海军 ， 电子邮箱：</w:t>
      </w:r>
      <w:r>
        <w:rPr>
          <w:rFonts w:hint="eastAsia" w:ascii="仿宋" w:hAnsi="仿宋" w:eastAsia="仿宋" w:cs="仿宋"/>
          <w:sz w:val="32"/>
          <w:szCs w:val="32"/>
          <w:lang w:val="en-US" w:eastAsia="zh-CN"/>
        </w:rPr>
        <w:fldChar w:fldCharType="begin"/>
      </w:r>
      <w:r>
        <w:rPr>
          <w:rFonts w:hint="eastAsia" w:ascii="仿宋" w:hAnsi="仿宋" w:eastAsia="仿宋" w:cs="仿宋"/>
          <w:sz w:val="32"/>
          <w:szCs w:val="32"/>
          <w:lang w:val="en-US" w:eastAsia="zh-CN"/>
        </w:rPr>
        <w:instrText xml:space="preserve"> HYPERLINK "mailto:416152215@qq.com，" </w:instrText>
      </w:r>
      <w:r>
        <w:rPr>
          <w:rFonts w:hint="eastAsia" w:ascii="仿宋" w:hAnsi="仿宋" w:eastAsia="仿宋" w:cs="仿宋"/>
          <w:sz w:val="32"/>
          <w:szCs w:val="32"/>
          <w:lang w:val="en-US" w:eastAsia="zh-CN"/>
        </w:rPr>
        <w:fldChar w:fldCharType="separate"/>
      </w:r>
      <w:r>
        <w:rPr>
          <w:rFonts w:hint="eastAsia" w:ascii="仿宋" w:hAnsi="仿宋" w:eastAsia="仿宋" w:cs="仿宋"/>
          <w:sz w:val="32"/>
          <w:szCs w:val="32"/>
          <w:lang w:val="en-US" w:eastAsia="zh-CN"/>
        </w:rPr>
        <w:t>416152215@qq.com，</w:t>
      </w:r>
      <w:r>
        <w:rPr>
          <w:rFonts w:hint="eastAsia" w:ascii="仿宋" w:hAnsi="仿宋" w:eastAsia="仿宋" w:cs="仿宋"/>
          <w:sz w:val="32"/>
          <w:szCs w:val="32"/>
          <w:lang w:val="en-US" w:eastAsia="zh-CN"/>
        </w:rPr>
        <w:fldChar w:fldCharType="end"/>
      </w: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通讯地址：乐山市沙湾区农业农村局</w:t>
      </w:r>
    </w:p>
    <w:p>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 </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w:t>
      </w:r>
    </w:p>
    <w:p>
      <w:pPr>
        <w:ind w:firstLine="5440" w:firstLineChars="1700"/>
        <w:rPr>
          <w:rFonts w:hint="eastAsia" w:ascii="仿宋" w:hAnsi="仿宋" w:eastAsia="仿宋" w:cs="仿宋"/>
          <w:sz w:val="32"/>
          <w:szCs w:val="32"/>
          <w:lang w:eastAsia="zh-CN"/>
        </w:rPr>
      </w:pPr>
      <w:r>
        <w:rPr>
          <w:rFonts w:hint="eastAsia" w:ascii="仿宋" w:hAnsi="仿宋" w:eastAsia="仿宋" w:cs="仿宋"/>
          <w:sz w:val="32"/>
          <w:szCs w:val="32"/>
          <w:lang w:eastAsia="zh-CN"/>
        </w:rPr>
        <w:t>乐山市沙湾区农业农村局</w:t>
      </w:r>
    </w:p>
    <w:p>
      <w:pPr>
        <w:ind w:firstLine="6080" w:firstLineChars="1900"/>
        <w:rPr>
          <w:rFonts w:hint="eastAsia" w:ascii="仿宋" w:hAnsi="仿宋" w:eastAsia="仿宋" w:cs="仿宋"/>
          <w:sz w:val="32"/>
          <w:szCs w:val="32"/>
        </w:rPr>
      </w:pPr>
      <w:r>
        <w:rPr>
          <w:rFonts w:hint="eastAsia" w:ascii="仿宋" w:hAnsi="仿宋" w:eastAsia="仿宋" w:cs="仿宋"/>
          <w:sz w:val="32"/>
          <w:szCs w:val="32"/>
        </w:rPr>
        <w:t>20</w:t>
      </w:r>
      <w:r>
        <w:rPr>
          <w:rFonts w:hint="eastAsia" w:ascii="仿宋" w:hAnsi="仿宋" w:eastAsia="仿宋" w:cs="仿宋"/>
          <w:sz w:val="32"/>
          <w:szCs w:val="32"/>
          <w:lang w:val="en-US" w:eastAsia="zh-CN"/>
        </w:rPr>
        <w:t>24</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11</w:t>
      </w:r>
      <w:r>
        <w:rPr>
          <w:rFonts w:hint="eastAsia" w:ascii="仿宋" w:hAnsi="仿宋" w:eastAsia="仿宋" w:cs="仿宋"/>
          <w:sz w:val="32"/>
          <w:szCs w:val="32"/>
        </w:rPr>
        <w:t>日</w:t>
      </w:r>
    </w:p>
    <w:p>
      <w:pPr>
        <w:rPr>
          <w:rFonts w:hint="eastAsia" w:ascii="仿宋" w:hAnsi="仿宋" w:eastAsia="仿宋" w:cs="仿宋"/>
          <w:sz w:val="32"/>
          <w:szCs w:val="32"/>
          <w:lang w:val="en-US" w:eastAsia="zh-CN"/>
        </w:rPr>
      </w:pPr>
    </w:p>
    <w:p>
      <w:pPr>
        <w:pStyle w:val="2"/>
        <w:rPr>
          <w:rFonts w:hint="eastAsia" w:ascii="仿宋" w:hAnsi="仿宋" w:eastAsia="仿宋" w:cs="仿宋"/>
          <w:sz w:val="32"/>
          <w:szCs w:val="32"/>
          <w:lang w:val="en-US" w:eastAsia="zh-CN"/>
        </w:rPr>
      </w:pPr>
    </w:p>
    <w:p>
      <w:pPr>
        <w:pStyle w:val="3"/>
        <w:rPr>
          <w:rFonts w:hint="eastAsia" w:ascii="仿宋" w:hAnsi="仿宋" w:eastAsia="仿宋" w:cs="仿宋"/>
          <w:sz w:val="32"/>
          <w:szCs w:val="32"/>
          <w:lang w:val="en-US" w:eastAsia="zh-CN"/>
        </w:rPr>
      </w:pPr>
    </w:p>
    <w:p>
      <w:pPr>
        <w:rPr>
          <w:rFonts w:hint="eastAsia"/>
          <w:lang w:val="en-US" w:eastAsia="zh-CN"/>
        </w:rPr>
        <w:sectPr>
          <w:pgSz w:w="11906" w:h="16838"/>
          <w:pgMar w:top="1383" w:right="1349" w:bottom="1383" w:left="1349" w:header="851" w:footer="992" w:gutter="0"/>
          <w:cols w:space="0" w:num="1"/>
          <w:rtlGutter w:val="0"/>
          <w:docGrid w:type="lines" w:linePitch="312" w:charSpace="0"/>
        </w:sectPr>
      </w:pPr>
    </w:p>
    <w:tbl>
      <w:tblPr>
        <w:tblStyle w:val="6"/>
        <w:tblW w:w="158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4"/>
        <w:gridCol w:w="915"/>
        <w:gridCol w:w="1110"/>
        <w:gridCol w:w="1155"/>
        <w:gridCol w:w="715"/>
        <w:gridCol w:w="915"/>
        <w:gridCol w:w="780"/>
        <w:gridCol w:w="780"/>
        <w:gridCol w:w="870"/>
        <w:gridCol w:w="1035"/>
        <w:gridCol w:w="915"/>
        <w:gridCol w:w="750"/>
        <w:gridCol w:w="855"/>
        <w:gridCol w:w="840"/>
        <w:gridCol w:w="812"/>
        <w:gridCol w:w="795"/>
        <w:gridCol w:w="720"/>
        <w:gridCol w:w="7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5848" w:type="dxa"/>
            <w:gridSpan w:val="1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沙湾区2025年财政衔接资金项目储备计划汇总表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jc w:val="center"/>
        </w:trPr>
        <w:tc>
          <w:tcPr>
            <w:tcW w:w="1184" w:type="dxa"/>
            <w:vMerge w:val="restart"/>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14664" w:type="dxa"/>
            <w:gridSpan w:val="17"/>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项目储备计划情况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jc w:val="center"/>
        </w:trPr>
        <w:tc>
          <w:tcPr>
            <w:tcW w:w="118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3180"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合计</w:t>
            </w:r>
          </w:p>
        </w:tc>
        <w:tc>
          <w:tcPr>
            <w:tcW w:w="163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产业发展</w:t>
            </w:r>
          </w:p>
        </w:tc>
        <w:tc>
          <w:tcPr>
            <w:tcW w:w="1560" w:type="dxa"/>
            <w:gridSpan w:val="2"/>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就业项目</w:t>
            </w:r>
          </w:p>
        </w:tc>
        <w:tc>
          <w:tcPr>
            <w:tcW w:w="190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乡村建设行动</w:t>
            </w:r>
          </w:p>
        </w:tc>
        <w:tc>
          <w:tcPr>
            <w:tcW w:w="166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易地搬迁后扶</w:t>
            </w:r>
          </w:p>
        </w:tc>
        <w:tc>
          <w:tcPr>
            <w:tcW w:w="1695"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乡村治理和精神文明建设</w:t>
            </w:r>
          </w:p>
        </w:tc>
        <w:tc>
          <w:tcPr>
            <w:tcW w:w="1607"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巩固三保障成果</w:t>
            </w:r>
          </w:p>
        </w:tc>
        <w:tc>
          <w:tcPr>
            <w:tcW w:w="1422" w:type="dxa"/>
            <w:gridSpan w:val="2"/>
            <w:tcBorders>
              <w:top w:val="single" w:color="000000" w:sz="8" w:space="0"/>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项目管理费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84" w:type="dxa"/>
            <w:vMerge w:val="continue"/>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915" w:type="dxa"/>
            <w:tcBorders>
              <w:top w:val="single" w:color="000000" w:sz="8" w:space="0"/>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项目个数</w:t>
            </w:r>
          </w:p>
        </w:tc>
        <w:tc>
          <w:tcPr>
            <w:tcW w:w="11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计划项目资金</w:t>
            </w:r>
          </w:p>
        </w:tc>
        <w:tc>
          <w:tcPr>
            <w:tcW w:w="11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财政衔接资金</w:t>
            </w:r>
          </w:p>
        </w:tc>
        <w:tc>
          <w:tcPr>
            <w:tcW w:w="71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项目      个数</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项目资金</w:t>
            </w:r>
          </w:p>
        </w:tc>
        <w:tc>
          <w:tcPr>
            <w:tcW w:w="7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项目个数</w:t>
            </w:r>
          </w:p>
        </w:tc>
        <w:tc>
          <w:tcPr>
            <w:tcW w:w="7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项目资金</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项目个数</w:t>
            </w:r>
          </w:p>
        </w:tc>
        <w:tc>
          <w:tcPr>
            <w:tcW w:w="103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项目资金</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项目个数</w:t>
            </w:r>
          </w:p>
        </w:tc>
        <w:tc>
          <w:tcPr>
            <w:tcW w:w="7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项目资金</w:t>
            </w:r>
          </w:p>
        </w:tc>
        <w:tc>
          <w:tcPr>
            <w:tcW w:w="8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项目个数</w:t>
            </w:r>
          </w:p>
        </w:tc>
        <w:tc>
          <w:tcPr>
            <w:tcW w:w="84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项目资金</w:t>
            </w:r>
          </w:p>
        </w:tc>
        <w:tc>
          <w:tcPr>
            <w:tcW w:w="81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      个数</w:t>
            </w:r>
          </w:p>
        </w:tc>
        <w:tc>
          <w:tcPr>
            <w:tcW w:w="795"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4"/>
                <w:szCs w:val="24"/>
                <w:u w:val="none"/>
                <w:lang w:val="en-US" w:eastAsia="zh-CN" w:bidi="ar"/>
              </w:rPr>
              <w:t>项目资金</w:t>
            </w:r>
          </w:p>
        </w:tc>
        <w:tc>
          <w:tcPr>
            <w:tcW w:w="72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      个数</w:t>
            </w:r>
          </w:p>
        </w:tc>
        <w:tc>
          <w:tcPr>
            <w:tcW w:w="702"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84"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915" w:type="dxa"/>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107</w:t>
            </w:r>
          </w:p>
        </w:tc>
        <w:tc>
          <w:tcPr>
            <w:tcW w:w="111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11589.09</w:t>
            </w:r>
          </w:p>
        </w:tc>
        <w:tc>
          <w:tcPr>
            <w:tcW w:w="11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10322.19</w:t>
            </w:r>
          </w:p>
        </w:tc>
        <w:tc>
          <w:tcPr>
            <w:tcW w:w="71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60</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6085</w:t>
            </w:r>
          </w:p>
        </w:tc>
        <w:tc>
          <w:tcPr>
            <w:tcW w:w="7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3</w:t>
            </w:r>
          </w:p>
        </w:tc>
        <w:tc>
          <w:tcPr>
            <w:tcW w:w="7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138.8</w:t>
            </w:r>
          </w:p>
        </w:tc>
        <w:tc>
          <w:tcPr>
            <w:tcW w:w="87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33</w:t>
            </w:r>
          </w:p>
        </w:tc>
        <w:tc>
          <w:tcPr>
            <w:tcW w:w="103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3012.39</w:t>
            </w:r>
          </w:p>
        </w:tc>
        <w:tc>
          <w:tcPr>
            <w:tcW w:w="91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5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50</w:t>
            </w:r>
          </w:p>
        </w:tc>
        <w:tc>
          <w:tcPr>
            <w:tcW w:w="85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84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411</w:t>
            </w:r>
          </w:p>
        </w:tc>
        <w:tc>
          <w:tcPr>
            <w:tcW w:w="81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w:t>
            </w:r>
          </w:p>
        </w:tc>
        <w:tc>
          <w:tcPr>
            <w:tcW w:w="79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45</w:t>
            </w:r>
          </w:p>
        </w:tc>
        <w:tc>
          <w:tcPr>
            <w:tcW w:w="72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02"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福禄镇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16</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1085</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1085</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14</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1027</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2</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58</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葫芦镇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16</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1779.8</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1279.8</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8</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691.5</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8</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588.3</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default" w:ascii="仿宋" w:hAnsi="仿宋" w:eastAsia="仿宋" w:cs="仿宋"/>
                <w:i w:val="0"/>
                <w:iCs w:val="0"/>
                <w:color w:val="000000"/>
                <w:kern w:val="2"/>
                <w:sz w:val="20"/>
                <w:szCs w:val="20"/>
                <w:u w:val="none"/>
                <w:lang w:val="en-US" w:eastAsia="zh-CN" w:bidi="ar-SA"/>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嘉农镇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5</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439</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439</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5</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439</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70" w:type="dxa"/>
            <w:tcBorders>
              <w:top w:val="nil"/>
              <w:left w:val="nil"/>
              <w:bottom w:val="single" w:color="000000" w:sz="8" w:space="0"/>
              <w:right w:val="single" w:color="000000" w:sz="8" w:space="0"/>
            </w:tcBorders>
            <w:shd w:val="clear" w:color="auto" w:fill="auto"/>
            <w:noWrap/>
            <w:vAlign w:val="center"/>
          </w:tcPr>
          <w:p>
            <w:pPr>
              <w:jc w:val="center"/>
            </w:pPr>
          </w:p>
        </w:tc>
        <w:tc>
          <w:tcPr>
            <w:tcW w:w="103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牛石镇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7</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1175.89</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656.99</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5</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427.5</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2</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229.49</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沙湾镇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8</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1023.1</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1023.1</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2</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6</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898.1</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踏水镇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6</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353.5</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340.5</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4</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2</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83.5</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太平镇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24</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1300</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1300</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9</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546</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8</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343</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7</w:t>
            </w:r>
          </w:p>
        </w:tc>
        <w:tc>
          <w:tcPr>
            <w:tcW w:w="84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0"/>
                <w:szCs w:val="20"/>
                <w:u w:val="none"/>
                <w:lang w:val="en-US" w:eastAsia="zh-CN" w:bidi="ar-SA"/>
              </w:rPr>
            </w:pPr>
            <w:r>
              <w:rPr>
                <w:rFonts w:hint="eastAsia" w:ascii="仿宋" w:hAnsi="仿宋" w:eastAsia="仿宋" w:cs="仿宋"/>
                <w:i w:val="0"/>
                <w:iCs w:val="0"/>
                <w:color w:val="000000"/>
                <w:kern w:val="0"/>
                <w:sz w:val="20"/>
                <w:szCs w:val="20"/>
                <w:u w:val="none"/>
                <w:lang w:val="en-US" w:eastAsia="zh-CN" w:bidi="ar"/>
              </w:rPr>
              <w:t>411</w:t>
            </w: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kern w:val="2"/>
                <w:sz w:val="20"/>
                <w:szCs w:val="20"/>
                <w:u w:val="none"/>
                <w:lang w:val="en-US" w:eastAsia="zh-CN" w:bidi="ar-SA"/>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铜河街道</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2</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jc w:val="center"/>
        </w:trPr>
        <w:tc>
          <w:tcPr>
            <w:tcW w:w="118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轸溪镇</w:t>
            </w:r>
          </w:p>
        </w:tc>
        <w:tc>
          <w:tcPr>
            <w:tcW w:w="91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8</w:t>
            </w:r>
          </w:p>
        </w:tc>
        <w:tc>
          <w:tcPr>
            <w:tcW w:w="111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371</w:t>
            </w:r>
          </w:p>
        </w:tc>
        <w:tc>
          <w:tcPr>
            <w:tcW w:w="115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371</w:t>
            </w:r>
          </w:p>
        </w:tc>
        <w:tc>
          <w:tcPr>
            <w:tcW w:w="7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7</w:t>
            </w:r>
          </w:p>
        </w:tc>
        <w:tc>
          <w:tcPr>
            <w:tcW w:w="91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328</w:t>
            </w:r>
          </w:p>
        </w:tc>
        <w:tc>
          <w:tcPr>
            <w:tcW w:w="780" w:type="dxa"/>
            <w:tcBorders>
              <w:top w:val="nil"/>
              <w:left w:val="nil"/>
              <w:bottom w:val="single" w:color="000000" w:sz="8" w:space="0"/>
              <w:right w:val="single" w:color="000000" w:sz="8" w:space="0"/>
            </w:tcBorders>
            <w:shd w:val="clear" w:color="auto" w:fill="auto"/>
            <w:noWrap/>
            <w:vAlign w:val="center"/>
          </w:tcPr>
          <w:p>
            <w:pPr>
              <w:jc w:val="center"/>
            </w:pPr>
          </w:p>
        </w:tc>
        <w:tc>
          <w:tcPr>
            <w:tcW w:w="78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70"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w:t>
            </w:r>
          </w:p>
        </w:tc>
        <w:tc>
          <w:tcPr>
            <w:tcW w:w="1035" w:type="dxa"/>
            <w:tcBorders>
              <w:top w:val="nil"/>
              <w:left w:val="nil"/>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91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50" w:type="dxa"/>
            <w:tcBorders>
              <w:top w:val="nil"/>
              <w:left w:val="nil"/>
              <w:bottom w:val="single" w:color="000000" w:sz="8" w:space="0"/>
              <w:right w:val="single" w:color="000000" w:sz="8" w:space="0"/>
            </w:tcBorders>
            <w:shd w:val="clear" w:color="auto" w:fill="auto"/>
            <w:noWrap/>
            <w:vAlign w:val="center"/>
          </w:tcPr>
          <w:p>
            <w:pPr>
              <w:jc w:val="center"/>
            </w:pPr>
          </w:p>
        </w:tc>
        <w:tc>
          <w:tcPr>
            <w:tcW w:w="855"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4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81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95" w:type="dxa"/>
            <w:tcBorders>
              <w:top w:val="nil"/>
              <w:left w:val="nil"/>
              <w:bottom w:val="single" w:color="000000" w:sz="8" w:space="0"/>
              <w:right w:val="single" w:color="000000" w:sz="8" w:space="0"/>
            </w:tcBorders>
            <w:shd w:val="clear" w:color="auto" w:fill="auto"/>
            <w:noWrap/>
            <w:vAlign w:val="center"/>
          </w:tcPr>
          <w:p>
            <w:pPr>
              <w:jc w:val="center"/>
            </w:pPr>
          </w:p>
        </w:tc>
        <w:tc>
          <w:tcPr>
            <w:tcW w:w="720"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c>
          <w:tcPr>
            <w:tcW w:w="702" w:type="dxa"/>
            <w:tcBorders>
              <w:top w:val="nil"/>
              <w:left w:val="nil"/>
              <w:bottom w:val="single" w:color="000000" w:sz="8" w:space="0"/>
              <w:right w:val="single" w:color="000000" w:sz="8"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184"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区级</w:t>
            </w:r>
          </w:p>
        </w:tc>
        <w:tc>
          <w:tcPr>
            <w:tcW w:w="915"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15</w:t>
            </w:r>
          </w:p>
        </w:tc>
        <w:tc>
          <w:tcPr>
            <w:tcW w:w="111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4033.8</w:t>
            </w:r>
          </w:p>
        </w:tc>
        <w:tc>
          <w:tcPr>
            <w:tcW w:w="115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3798.8</w:t>
            </w:r>
          </w:p>
        </w:tc>
        <w:tc>
          <w:tcPr>
            <w:tcW w:w="71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5</w:t>
            </w:r>
          </w:p>
        </w:tc>
        <w:tc>
          <w:tcPr>
            <w:tcW w:w="91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2230</w:t>
            </w:r>
          </w:p>
        </w:tc>
        <w:tc>
          <w:tcPr>
            <w:tcW w:w="78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3</w:t>
            </w:r>
          </w:p>
        </w:tc>
        <w:tc>
          <w:tcPr>
            <w:tcW w:w="78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138.8</w:t>
            </w:r>
          </w:p>
        </w:tc>
        <w:tc>
          <w:tcPr>
            <w:tcW w:w="87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3</w:t>
            </w:r>
          </w:p>
        </w:tc>
        <w:tc>
          <w:tcPr>
            <w:tcW w:w="103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755</w:t>
            </w:r>
          </w:p>
        </w:tc>
        <w:tc>
          <w:tcPr>
            <w:tcW w:w="91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5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50</w:t>
            </w:r>
          </w:p>
        </w:tc>
        <w:tc>
          <w:tcPr>
            <w:tcW w:w="85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12"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95"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pPr>
            <w:r>
              <w:rPr>
                <w:rFonts w:hint="eastAsia" w:ascii="仿宋" w:hAnsi="仿宋" w:eastAsia="仿宋" w:cs="仿宋"/>
                <w:i w:val="0"/>
                <w:iCs w:val="0"/>
                <w:color w:val="000000"/>
                <w:kern w:val="0"/>
                <w:sz w:val="20"/>
                <w:szCs w:val="20"/>
                <w:u w:val="none"/>
                <w:lang w:val="en-US" w:eastAsia="zh-CN" w:bidi="ar"/>
              </w:rPr>
              <w:t>45</w:t>
            </w:r>
          </w:p>
        </w:tc>
        <w:tc>
          <w:tcPr>
            <w:tcW w:w="720"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02" w:type="dxa"/>
            <w:tcBorders>
              <w:top w:val="nil"/>
              <w:left w:val="nil"/>
              <w:bottom w:val="single" w:color="auto" w:sz="4"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w:t>
            </w:r>
          </w:p>
        </w:tc>
      </w:tr>
    </w:tbl>
    <w:p>
      <w:pPr>
        <w:pStyle w:val="3"/>
        <w:jc w:val="both"/>
        <w:rPr>
          <w:rFonts w:hint="eastAsia"/>
          <w:lang w:val="en-US" w:eastAsia="zh-CN"/>
        </w:rPr>
        <w:sectPr>
          <w:pgSz w:w="16838" w:h="11906" w:orient="landscape"/>
          <w:pgMar w:top="1349" w:right="1383" w:bottom="1349" w:left="1383" w:header="851" w:footer="992" w:gutter="0"/>
          <w:cols w:space="0" w:num="1"/>
          <w:rtlGutter w:val="0"/>
          <w:docGrid w:type="lines" w:linePitch="317" w:charSpace="0"/>
        </w:sectPr>
      </w:pPr>
    </w:p>
    <w:tbl>
      <w:tblPr>
        <w:tblStyle w:val="6"/>
        <w:tblpPr w:leftFromText="180" w:rightFromText="180" w:vertAnchor="text" w:horzAnchor="page" w:tblpX="1793" w:tblpY="1654"/>
        <w:tblOverlap w:val="never"/>
        <w:tblW w:w="211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0"/>
        <w:gridCol w:w="990"/>
        <w:gridCol w:w="1440"/>
        <w:gridCol w:w="900"/>
        <w:gridCol w:w="750"/>
        <w:gridCol w:w="660"/>
        <w:gridCol w:w="750"/>
        <w:gridCol w:w="2190"/>
        <w:gridCol w:w="1935"/>
        <w:gridCol w:w="765"/>
        <w:gridCol w:w="1185"/>
        <w:gridCol w:w="1005"/>
        <w:gridCol w:w="690"/>
        <w:gridCol w:w="840"/>
        <w:gridCol w:w="885"/>
        <w:gridCol w:w="825"/>
        <w:gridCol w:w="735"/>
        <w:gridCol w:w="690"/>
        <w:gridCol w:w="690"/>
        <w:gridCol w:w="765"/>
        <w:gridCol w:w="840"/>
        <w:gridCol w:w="8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1165" w:type="dxa"/>
            <w:gridSpan w:val="2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沙湾区</w:t>
            </w:r>
            <w:r>
              <w:rPr>
                <w:rFonts w:ascii="Calibri" w:hAnsi="Calibri" w:eastAsia="宋体" w:cs="Calibri"/>
                <w:i w:val="0"/>
                <w:iCs w:val="0"/>
                <w:color w:val="000000"/>
                <w:kern w:val="0"/>
                <w:sz w:val="44"/>
                <w:szCs w:val="44"/>
                <w:u w:val="none"/>
                <w:lang w:val="en-US" w:eastAsia="zh-CN" w:bidi="ar"/>
              </w:rPr>
              <w:t>2025</w:t>
            </w:r>
            <w:r>
              <w:rPr>
                <w:rFonts w:hint="eastAsia" w:ascii="宋体" w:hAnsi="宋体" w:eastAsia="宋体" w:cs="宋体"/>
                <w:i w:val="0"/>
                <w:iCs w:val="0"/>
                <w:color w:val="000000"/>
                <w:kern w:val="0"/>
                <w:sz w:val="44"/>
                <w:szCs w:val="44"/>
                <w:u w:val="none"/>
                <w:lang w:val="en-US" w:eastAsia="zh-CN" w:bidi="ar"/>
              </w:rPr>
              <w:t>年财政衔接推进乡村振兴补助资金储备项目</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项目类别</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镇街</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实施地点</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建设性质</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21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项目内容</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群众参与和利益联结机制</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是否以以工代赈方式实施</w:t>
            </w:r>
          </w:p>
        </w:tc>
        <w:tc>
          <w:tcPr>
            <w:tcW w:w="54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规划总投资(万元)</w:t>
            </w:r>
          </w:p>
        </w:tc>
        <w:tc>
          <w:tcPr>
            <w:tcW w:w="288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受益对象(人)</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项目主管部门</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政府投入</w:t>
            </w:r>
          </w:p>
        </w:tc>
        <w:tc>
          <w:tcPr>
            <w:tcW w:w="6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业主投入</w:t>
            </w:r>
          </w:p>
        </w:tc>
        <w:tc>
          <w:tcPr>
            <w:tcW w:w="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农户自筹</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行业部门投入</w:t>
            </w:r>
          </w:p>
        </w:tc>
        <w:tc>
          <w:tcPr>
            <w:tcW w:w="825"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间接费用</w:t>
            </w:r>
          </w:p>
        </w:tc>
        <w:tc>
          <w:tcPr>
            <w:tcW w:w="14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农户</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脱贫户(监测户)</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6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户数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人口</w:t>
            </w:r>
          </w:p>
        </w:tc>
        <w:tc>
          <w:tcPr>
            <w:tcW w:w="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嘉农镇玉龙村2、16组产业路建设项目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玉龙村1、2、16组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玉龙村2组硬化产业路长约300米，平均宽度3.5米，铺设18cm的C25混凝土；玉龙村16组硬化产业路长约500米，平均宽度3米；玉龙村1、2组硬化产业路长约1000米，铺设18cm的C25混凝土。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方便群众出售水果、蔬菜、林木等，有助于推动玉龙村产业发展，项目预计带动务工收入10.8万元，建成后预计人均收入增长300元/年。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54.0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嘉农镇盐溪口村乡村道路修复项目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盐溪口村2组至6组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盐溪口村2组至6组修复产业路约3公里，平均宽度3.5米,铺设18cm的C25混凝土。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方便村民日常通行、带动盐溪口村经济发展，项目预计带动务工收入18万元，建成后预计人均收入增长100元/年。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742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嘉农镇盐溪口村1组道路建设项目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盐溪口村1组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盐溪口村1组混泥土硬化长约1.6公里，平均宽度4.5米，铺设5cm的碎石基层，18cm的C30混凝土，两边进行堡坎处理。</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方便村民日常通行，推动村养殖产业发展，带动村集体经济发展，项目预计带动务工收入32万元，建成后预计人均收入增长500元/年。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160.0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160.0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嘉农镇王场村道路修复项目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王场村10组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嘉农镇王场村10组道路修复长约800米，平均宽度4米，铺设18cm的C25混凝土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方便群众日常出行和劳作，项目预计带动务工收入7.8万元，建成后预计人均收入增长100元/年。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39.0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39.0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嘉农镇盐溪口村8组产业道路建设项目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嘉农镇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王场村8组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8组产业道路硬化长约2000米，平均宽度4米，铺设18cm的C25混凝土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方便群众生产生活，进一步推动王场村萝卜产业发展，项目预计带动务工收入19.2万元，建成后预计人均收入增长400元/年。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96.0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96.0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牛石镇喻坝村赤松茸种植大棚建设项目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喻坝村3组（烂瓦房）</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亩</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新建100立方储水池，管道长500米，DN110，20亩20个大棚并配备喷灌设备。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吸纳脱贫群众务工30人次，0.6万元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牛石镇喻坝村梯式人行步道建设项目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喻坝村3.4.5.6组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修建步道2000米，宽1米,厚0.18米。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吸纳脱贫群众务工20人，群众人均收入增加0.3元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牛石镇安池村农旅融合产业路建设项目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利农村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峭斗岩步道1300米宽度1.5米（含混凝土护栏）、其中200米钢架阶梯。</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带动群众自建农家乐3家，年收入30万元。吸纳脱贫群众务工300人次、带动周边群众发展养殖土鸡鸭10000只，种植水果50亩</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牛石镇安池村淫羊藿种植大棚建设项目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安池村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建设20亩大棚及配套设备。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吸纳脱贫群众务工30人次，0.6万元。带动周边群众中药材种植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2060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牛石镇安池村淫羊藿种植大棚建设项目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安池村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建设20亩大棚及配套设备。</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吸纳脱贫群众务工30人次，0.6万元。带动周边群众中药材种植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29.00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29.0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2060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牛石镇九龙口村笋竹种植基地建设项目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九龙口</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村1组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修建竹笋基地生产便道长6000米，宽1.5米，厚0.1米；建设笋竹基地1000亩。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带动群众每年增收20万元，解决脱贫户、监测户、一般户务工100人次。增收3000人/年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1037</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中省扶持村项目</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牛石镇乡村水务示范镇项目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牛石镇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口、套</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50m3蓄水池2口，新建100m3蓄水池4口，取水口9口，30T/D超滤膜一体化设备10套，50T/D超滤膜一体化设备1套，70T/D超滤膜一体化设备1套，400T/D超滤膜一体化设备1套，维修蓄水池7口，安装输水管、配水管26.431km，DN25入户计量水表2122个，家用净水设备578台，及其余入户管道</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解决全镇90%人口安全饮水问题</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728.39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209.5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518.90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3258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7989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铜河街道新都村产业基地基础设施建设项目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铜河街道</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新都村五组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平方米、米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1、新建基地产业加工房70平方米；                    2、改、扩建新都村基地产业路硬化，长度约150米，宽4米、厚0.2米产业路。</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1、进一步提升产业基地的发展，预计每年增加集体经济收入5万元，带动脱贫人口人均创收0.2万元。2、解决220余户650人的生活生产出行困难问题，带动周边农户发展经济，预计每年每户增加收入0.3万元。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    区交通局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铜河街道新都村安全饮水建设项目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铜河街道</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新都村5组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口、米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新建100立方蓄水池1口，安装饮水管2000米。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进一步巩固脱贫成果，解决群众在干旱天气时的用水问题，预计增加脱贫人口收入0.1万元、一般群众收入0.15万元。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水务局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葫芦坝村道路维修工程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葫芦坝村15组、17组、18组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维修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组老心子包至漫水桥长30米，公路堡坎（高4米，上宽0.4，下宽1.5米），维修路面；15组黄立坡处公路堡坎长80米（下宽2米，上宽0.4米，高7米），维修路面；17组清淤，修建堡坎30米长（高5米，下宽1.5米，上宽0.4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保障群众出行安全，促进农产品销售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葫芦坝村饮水管网更换工程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葫芦坝村11组、12、13组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换新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12、13组更换饮水管网63#pe1800米，25#400米；11组更换饮水管网40#pe1400米,32#1200米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解决农户安全饮水</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葫芦坝村产业道路项目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葫芦坝村5组、6组、14组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铺碎石路面长2000米，宽3.5米，厚0.4米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保障群众出行安全，促进农产品销售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3248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葫芦镇四峨山村2024年农产品展示厅水电设施项目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四峨山村2组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安装2m</w:t>
            </w:r>
            <w:r>
              <w:rPr>
                <w:rStyle w:val="22"/>
                <w:lang w:val="en-US" w:eastAsia="zh-CN" w:bidi="ar"/>
              </w:rPr>
              <w:t>³</w:t>
            </w:r>
            <w:r>
              <w:rPr>
                <w:rFonts w:hint="eastAsia" w:ascii="仿宋" w:hAnsi="仿宋" w:eastAsia="仿宋" w:cs="仿宋"/>
                <w:i w:val="0"/>
                <w:iCs w:val="0"/>
                <w:color w:val="000000"/>
                <w:kern w:val="0"/>
                <w:sz w:val="20"/>
                <w:szCs w:val="20"/>
                <w:u w:val="none"/>
                <w:lang w:val="en-US" w:eastAsia="zh-CN" w:bidi="ar"/>
              </w:rPr>
              <w:t>蓄水桶2个，安装φ20管道2000米(含开关、接头、三通），安装过滤设备1套，安装10平方电缆线650米，配电箱2个。</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促进脱贫户持续稳定增加收入</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0.14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葫芦镇四峨山村2025年产业道路提升项目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四峨山村4、5组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新建/维修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1.提升产业道路（4组香树坪至郭湾1000米），铺设AC-13C沥青路面长1000米，宽5米，厚0.05米,含划线。2.维修5组道路100米。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提高村民幸福生活指数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葫芦镇四峨山村农村人居环境提升项目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四峨山村1/4/5/8组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提升打造50户房屋屋顶、墙面、院坝、门头等。</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提高村民幸福生活指数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葫芦镇四峨山村2025年生产道路建设项目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四峨山村1、2组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采用C25混凝土硬化四峨山村2组香树坪至学堂坪三岔路口至王元清屋旁生产道路，长1500米、宽3米、厚0.15米，新建4处长8米，宽2.5米，厚0.15米错车道；2、采用C25混凝土硬化四峨山村1组园田子至萝卜顶生产道路，长2000米、宽2.5米、厚0.15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通过项目的实施，吸纳40名农户参与工程建设，人均收入增加2000元，项目实施后使群众出行、农资和农产品运输更加方便、快捷，带动脱贫群众农业生产发展，增强了村集体组织的凝聚力。</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葫芦镇四峨山村2025年现代农业产业园区旱改水项目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四峨山村1/4/5组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新建宽1.5米、厚0.1米生产路2000米；新建0.3*0.3米堰渠长2000米；旱地恢复200亩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通过项目的实施，吸纳50名农户参与工程建设，人均收入增加2000元，项目实施后为群众生产种植提供方便，带动脱贫群众发展农业生产，增强了村集体组织的凝聚力。</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梁村稻田养蛙项目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梁村7组至10组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灌溉渠堰2000米*0.5米*0.5米.灌溉池1000方.场地建设45亩及配套设施</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带动乡村振兴稻蛙共存的绿色稻田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1189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江村7组产业道路建设项目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江村7组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江村7组马儿田至代山长1300米、宽3米，厚0.18米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保障群众出行安全，促进农产品销售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52.0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江村6组产业道路建设项目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江村7组至6组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江村7组原徐沟村村委至6组王珍家外，长3500米、宽3米，厚0.18米。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保障群众出行安全，促进农产品销售</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江村8组产业道路建设项目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江村8组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江村8组长林沟至江村4组还山喽，长1700米、宽3米，厚0.18米。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保障耕地不流失，保障产业增收促进农产品增收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葫芦镇江村农村人居环境提升项目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江村11、12组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提升打造35户沿线房屋及道路美化，包括房屋屋顶5500平方米、墙面3500平方米、院坝种植花草等绿植、门面更换等。</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提高村民幸福生活指数，为乡村振兴打下坚实的基础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69.0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葫芦镇梁村农村人居环境提升项目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东岳庙至竹产业基地（老汪山村委会至稻蛙田）</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一是路边加装护栏，二是36户屋面粉刷27200平方，136户房屋换顶21700平方，</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为以后的人居环境和乡村打下坚实的基础，为全村民带来生活品质的提升，也为我们以后乡村振兴奠定基础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1189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葫芦镇祝村农村人居环境提升项目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祝村3、5、6、7组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新建/换新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外墙需做仿瓷、乳胶漆，共计3500㎡，通道仿瓷1400㎡，屋顶统一琉璃瓦，共计4000㎡，附属房：统一琉璃瓦，共计2000㎡，绿化：4000㎡，芯梦园大门整治</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提高村民幸福生活指数</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葫芦镇葫芦坝村农村人居环境提升项目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廖东家至与江村交界处的葫四路范围内</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葫芦镇人民政府</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一是在葫四路没有护栏的一边全部安装铝制篱笆，二是沿线房屋美化提升，涉及12户人墙面粉刷2400平方，三是涉及12户人换屋顶，面积为1900平方，</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为以后的人居环境和乡村旅游业打下坚实的基础，为全村移民带来生活品质的提升，也为我们移民以后吃旅游饭奠定基础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71.3</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71.3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3248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top"/>
          </w:tcPr>
          <w:p>
            <w:pPr>
              <w:jc w:val="left"/>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轸溪镇寨子村8组产业路硬化项目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寨子村8组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C30标准，硬化长1450米，宽4.5米，厚0.18米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增收产业帮扶机制，解决交通不便弊端，土地无经济效益困境，能有效促进产业发展，农户经济作物运输方便，受益农户40户140人（其中脱贫户4户6人）土地有利用价值，种植发展金丝皇菊促进人均增收约150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轸溪镇寨子村冻库建设项目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寨子村7组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栋</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彩钢房130平方,制冷压缩机3组,冷风机3台</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解决金丝皇菊滞销等问题，能有效促进产业发展，受益农户414户1451人（其中脱贫户25户61人），项目建成后人均增收约200元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1451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轸溪镇寨子村7组产业路硬化项目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寨子村7组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C30标准，硬化长1200米，宽4.5米，厚0.18米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增收产业帮扶机制，解决交通不便弊端，土地无经济效益困境，能有效促进产业发展，农户经济作物运输方便，受益农户89户180人（其中脱贫户5户13人）土地有利用价值，发展金丝皇菊来促进人均增收约150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轸溪镇金牛村路灯安装项目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金牛村1、2、3、4、5、6组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盏</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安装金牛村1.2.3.4.5.6组路灯214盏</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为全村农旅融合发展打下坚实基础，进一步完善金牛村基础设施水平，为村民带来更舒适、更安全的夜间生活体验，照亮了村民出行的平安路，也照亮了村民生活的幸福路，更照亮了金牛村发展的振兴路。</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43.0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43.0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轸溪镇金牛村1、3组产业路加宽硬化项目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金牛村1、3组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加宽道路约600米，宽1.5米，厚度0.18米，水泥标号c25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配套路推动流转土地约一千余亩，带动农户75户265人带动10户36人脱贫户参与务工年人均增收约500元左右，村集体经济年增收约1.5万元左右。尤其是加宽道路连通与双山村旅游通道，彻底缓解交通压力，为两村未来发展打下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轸溪镇金牛村3组山坪塘维修整治项目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金牛村3组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维修治理两个山坪塘（面积约6666.67平方米）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解决群众生产生活用水，推动流转土地约500余亩国药中药材基地，50余亩魔芋基地等产业用水。带动农户75户265人，带动4户17人脱贫户务工增收，预计人均增收500元左右，村集体年增收约1元左右。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区农业农村局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永和村8组新建产业发展道路项目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永和村8组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实施产业发展道路硬化，从月儿坪到牛石镇骑龙村交界处长度1公里，宽度3.5米、厚18公分。</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此道路实施能起到连通外村的便利，能解决群众交通不便的弊端，使经济作物等多方向流通，提升竹木林经济价值，能促进9户23人脱贫户受益增收人均200元左右，涉及农户60户280人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48.0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永和村5组产业发展道路硬化项目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轸溪镇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永和村5组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新建产业发展道路硬化，从农场到代山与徐沟村交界处联通，实施长度约600米、宽度3.5米、厚18公分</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该路段实施能让老百姓赶集方便，特别是永和5组村民到葫芦镇街路途更便利，促使经济流通，百姓树木茶叶等经济作物更有经济价值，解决了运输不便的弊端和群众出行的安全隐患，能促使32户农户160人受益，其中脱贫户7户14人，人均预估增收150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踏水镇蜜蜂村产业道路维修整治</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蜜蜂村3组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扩建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蜜蜂村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蜜蜂村“草禾山川”生态肉牛牧场沿水稻种植区道路一侧现有道路斜坡上，修建红砖挡墙约230米1.5米高、0.36米厚。和扩宽路面约1.5米，厚0.18米，长约500米。方便稻草运输和水稻收割机作业。（原有路基，不涉及基本农田）</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提升产业基础设施建设，方便群众生产生活，降低沿线200亩水稻机械成本每亩约120元，方便稻草运输回收至生态养殖基地，降低肉牛养殖成本，提高养殖效益。</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734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踏水镇铁寨村粮油园区提升项目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铁寨村1、5、6组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铁寨村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完善榨油坊设备一套，除热散湿搅拌机一台，900吸料机一台，接油输油配套设备7套，800水化机1台，油渣分离机1台，冷油机1台，1T储油罐2个，连掊管3根。2,、整治沟渠长度3000米，规格为:渠高0.4米、渠宽0.4米、沟渠底C20混凝土垫层厚0.15米，三面光、红砖二四墙，并转移建渣。</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改善粮油园区生产基础设施条件，有利于该片区将近2500亩的稻田灌溉，提高粮食产量，增加收益</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94.0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踏水镇魏槽村堰塘新建项目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魏槽村5组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魏槽村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在大沫库区下游新建1个能蓄水1400立方米的堰塘、用挖机开挖，用C20混凝土硬化底子20公分厚、四周用C20混凝土硬化30公分厚。鱼塘外墙边堡坎长150米、高3米、宽0.3米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提高产业基础设施建设，保障周边农田山地生产性用水，同时促进渔业养殖和乡村旅游发展，增加村集体年收入约3万元，增加脱贫户年终分配收益。</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32.0 </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887</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踏水镇中桥村制种玉米产业园区道路拓宽项目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中桥村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扩建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中桥村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打造玉米制种园区，完善基础设施建设，产业园区路段扩宽至4.5米混凝土路面，其中600米为宽4.5米混凝土硬化，其余近1.3公里为补充扩宽至4.5米（也就是新硬化2.2米），新建200米乱石浆砌堡坎。</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改善基础设施建设，有利于将近200亩的农户传统玉米种植转型为制种玉米种植，促进耕收，实现每亩增收3000元。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96.0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96.0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768</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踏水镇连沟村通组道路提升项目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连沟村2组、3组、4组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连沟村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硬化通组道路长1150米、宽3.5米、厚0.18米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提升村基础设施建设，方便周边群众出行，沿线有基本农田315亩，建成后每年实现机收，能节约成本约65000元，同时该项目在建设过程中，可以解决脱贫户及群众务工200余个。</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43.5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43.5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188</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踏水镇江红村次差路整治项目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踏水镇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江红村龙踩联网路</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扩建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江红村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原有硬化路1100米长、宽2.5米拓宽2米至4.5米宽，厚度0.2米。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方便出行，有力提升农产品集散交通条件，促进农户产业发展增收。促进粮油产业的发展，提高周边230户750人（其中：脱贫户12户23人）种粮积极性，可带动230户750人增收200元（其中：带动6户11人脱贫人口增收100元），巩固提升脱贫人口监测人口的脱贫成效，与乡村振兴实现有效衔接。</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先锋村饮水工程建设项目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先锋村2组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立方米、米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新建配电抽水设施1处（包括三相电线路300米、扬程150米抽水机、配电房）、15立方过滤池、50立方蓄水池1处，铺设500米DN32钢制引水管道。</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解决先锋村2组29户86人（含脱贫户2户、监测户1户）饮水困难及300余亩耕地灌溉问题，促进当地高山蔬菜产业发展，促进产业发展和群众增收。</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43.0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43.0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先锋村2组生产便道建设项目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先锋村2组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硬化生产便道，长1200米、宽3.5米、厚度0.18米，错车道4处采用C30混凝土浇筑。</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带动周边群众发展高山蔬菜及中药材种植，有利于扩大销售，实现村民及脱贫人口增收。</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先锋村5组生产便道建设项目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先锋村5组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硬化生产便道，长1300米、宽3米、厚度0.18米，错车道4处，采用C30混凝土浇筑。</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项目建成后，将极大提升生产效率，降低当地14户（含脱贫户3户6人）村民的生产成本，有力提升群众发展生产的积极性。</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王田村蓄水池建设项目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王田村6组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立方米、米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新建800立方米蓄水池1口（25×25×1.5），长200米横井一个，φPE90管网12000米。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解决全村350户1482人生产生活用水，有利于产业发展，促进村民特别是脱贫人口的增收。</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216.0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216.0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1482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代湾村蓄水池建设项目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代湾村5/6/7组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立方米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新建蓄水池5个，每个50立方米；铺设引水管网2500米。每个蓄水池配备5立方过滤池。</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解决村民约200人（其中脱贫人口40人）的饮水以及500亩茶叶灌溉以及解决人畜饮水，有利于改善村民生产生活用水条件。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二峨山村道路硬化工程</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二峨山村15组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道路硬化建设总长2200米，其中1600米路段宽4.5米、600米路段宽5米；厚0.18米，采用C30混凝土浇筑。</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道路硬化后，将明显改善沿线群众出行难的问题，减少生产运输成本，有利于二峨山村高山区农户销售林竹、竹笋、中药材等农产品，人均预计增收1500元左右。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沙湾镇二峨山村产业道路硬化工程项目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二峨山村15组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道路硬化建设2000米、宽4.5米、厚0.18米，采用C30混凝土浇筑；安装1.2米直径涵管9根。</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道路硬化后，将明显改善沿线群众出行难的问题，减少生产运输成本，有利于二峨山村高山区农户销售林竹、竹笋、中药材等农产品，人均预计增收1500元左右。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148.0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148.0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二峨山村蓄水池及引水管网建设项目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二峨山村1/3/5/6组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立方米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新建蓄水池5个（每个50立方）、安装净水设备5个、过滤池9个（每个20立方），PEφ63管2.6万米，PEφ25管1.5万米饮水管网。</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该项目由于年久失修、引水管网老化导致原有蓄水池和管道已无法使用，迫切需要解决村民生产生活用水问题，涉及169户（其中脱贫户6户15人）；项目建成后，将有力改善村民的饮水条件，提升生活质量。</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241.1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241.1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9.644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太平镇草坝村安全饮水项目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草坝村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口</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1、新建160米深水井一个，配套高压抽水泵一台，相应管、线2500米；2、新建100立方混凝土高位蓄水池一个；3、自来水管网建设：110主水管3000米、50分管4000米。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受益人口满意度≥90%，彻底解决草坝村7-8组村民450人饮水问题，增加劳务收入，进一步提高村民的幸福满意度。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太平镇草坝村产业道路硬化</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草坝村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1、对草坝村1组、3组原有产业路面硬化长4500米、宽2.5米、厚度0.18米，标号C25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受益人口满意度≥90%，促进草坝村村经济的发展，村集体经济增收0.5余元，带动草坝村20余户发展种植茶叶、柑橘50余亩，吸纳20余人务工，群众土地租金收益10000元，预计人均增收600元。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92.00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92.0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太平镇绿化村5组安全饮水项目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绿化村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口</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在绿化村5组新建1口深水井及配套实施</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受益人口满意度≥90%，项目建成后能促进绿化村集体经济的发展，解决150余户农户、5个企业饮水难问题和解决村发展种植的20亩淫羊藿用水，为产业园区发展起到保障作用，为乡村振兴打下坚实基础。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太平镇绿化村农旅发展项目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绿化村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扩建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架设高压线路300米（配套电线、电杆等）；2、在5个星空房四周增设安全护栏140米；3、改建排污实施（把现有的化粪池管道改到排污系统）；5、在星空房周边增加标志、标牌及形象实施。6、铺设自来水管道300米（在底端设置1台增压泵）。7、道路配套绿化。8、星空房内床上用品及其他配套实施。</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受益人口满意度≥90%，项目建成后为绿化村发展乡村休闲旅游起到示范作用，预计村集体经济年增收约2.5万元，解决5个人就业、为产业园区发展起到重要作用，为乡村振兴打下坚实基础。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317</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太平镇绿化村3组道路提升改造项目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绿化村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公里</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对绿化村3组道路提升改造，起点绿化村3组老石厂至绿化村3组裤裆田，全长约1.4公里。</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项目建成后，解决了绿化村集体经济在3组峰顶山种植的佛手柑的运输难问题。为绿化村3组融入沙湾区中药材现代农业园区起到重要作用，可以增加集体经济和3组村民收入，该道路改造后预计村集体经济年增收约0.5万元，3组村民人均年增收100元、为产业园区发展起到重要作用，为乡村振兴打下坚实基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317</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989</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太平镇沫江村产业路硬化项目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对沫江村4、5组原有五段生产道路硬化，长3500米*宽4米*厚0.2米，标号为C25。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受益人口满意度≥90%，促进沫江村经济的发展，村集体经济增收10000余元，带动沫江村10余户发展种植淫羊藿50余亩，吸纳20余人务工，预计人均增收500元。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210.00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210.0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太平镇沫江村安全饮水项目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建设100立方蓄水池一个，配套相关设备，新建管网3000米。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受益人口满意度≥90%，促进沫江村村集体经济发展，沫江村淫羊藿种植基地达到安全饮水，淫羊藿达到有效浇灌，带动吸纳300余人务工，群众土地租金收益约300000元，预计人均增收600元。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太平镇沫江村5、6组人居环境整治项目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对沫江村沿线4000米开展农村“五清行动”沟渠清理、庭院治理、垃圾清理等。</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受益人口满意度≥90%，促进沫江村人居环境提升，生活质量提高，受益人口1736余人。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85.00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太平镇五高山村蓄水池建设项目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五高山村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在五高山村3组、4组分别新建50立方蓄水池1个</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受益人口满意度≥90%，彻底解决五高山村164户村民的人畜饮水问题，进一步提高村民的幸福满意度。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0.4</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465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太平镇肖店村蓄水池建设项目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肖店村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在肖店村7组新建50立方米蓄水池2个，5组新建50立方米蓄水池1个，</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受益人口满意度≥90%，促进肖店村村集体经济发展，带动吸纳村民100余人务工，群众土地租金收益约120000元，预计人均增收800元。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太平镇肖店村2组产业路硬化项目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肖店村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条</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对肖店村2组三河口至本组杨俊忠家的原有产业路硬化长800米.宽2.5米.厚0,15米.C25标号。</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受益人口满意度≥90%，促进肖店村村集体经济发展，带动吸纳村民80余人务工，预计人均增收800元。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22.00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22.0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0.88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太平镇罗一村安全饮水管网铺设项目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罗一村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铺设饮水PE50管1000米及管网配件。</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受益人口满意度≥90%，促进罗一村村集体经济发展彻底解决罗一村37户村民的人畜饮水问题，进一步提高村民的幸福满意度。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0.28</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太平镇罗一村产业路硬化项目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罗一村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对原有产业路硬化，长700米，宽3米，厚0.15米，标号为C25；维修蓄水池3个</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受益人口满意度≥90%，促进罗一村村集体经济发展，带动吸纳村民30余人务工，预计人均增收500元。进一步提高村民的幸福满意度。</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33.00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33.0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太平镇挹峨村产业路建设项目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挹峨村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扩建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平方</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对原大同村到挹峨村产业路硬化，长1300，i，宽3米，厚0.18米，标号为C25，2、挹峨村2组青杠林三岔路至长虹加工坊（白岩湾）原有道路硬化长度400米，宽3米，厚0.18米，标号C25；3、名仕养鸡场厂至彭定凯家门口原有道路硬化，长1500,米，宽4米，厚0.18米，标号C25</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受益人口满意度≥90%，促进挹峨村村集体经济发展，受益人口395人，脱贫户51户，人口116人，带动吸纳村民200余人务工，群众土地租金收益约100000元，预计人均增收500元。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130.00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130.0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347</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893</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51</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太平镇挹峨村深水井建设项目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挹峨村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口</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在挹峨村二组新建深水井一口深度约230米，昼夜出水量约300立方米，抗沙潜水泵1台，380V，8.5KW，扬程300米，自动化抽水设备1套及门型架1套</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受益人口满意度≥90%，解决1、2、3、4组村民安全饮水问题，受益人口278人，脱贫户32户，人口72人。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645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沙湾区中药材现代农业园区服务站建设项目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平方</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社会治理中心装修100㎡，一老一小活动中心装修120㎡，农村书屋装修80㎡，共享超市100㎡，卫生间改造50㎡，公共区域、走道90㎡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受益人口满意度≥90%，促进沫江村经济的发展，村集体经济增收20000余元，吸纳5余人务工，预计人均增收500元。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太平镇罗一村人居环境整治项目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罗一村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对罗一村沙谭路沿线2000米开展农村“五清行动”沟渠清理、庭院治理、垃圾清理等。</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受益人口满意度≥90%，促进罗一村人居环境提升，生活质量提高，受益人口857余人。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34.00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42</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太平镇园区文化振兴规划项目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文化文创总策划，总体打造园区文化氛围，结合沫若文化讲好中药材文章。</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受益人口满意度≥90%，促进园区文化提升，生活质量提高，受益人口857余人。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太平镇园区中药材品牌营销宣传建设项目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个</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实施打造园区中药材园区品牌宣传点5个</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受益人口满意度≥90%，促进中药材品牌宣传，生活质量提高，受益人口1736余人。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65.00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太平镇中药材园区基础设施提升项目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平方</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土路铺装5CM厚青石板480㎡，园区提升铺设20CM厚混凝土6200㎡。</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受益人口满意度≥90%，促进园区基础设施提升，生活质量提高，受益人口1562余人。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太平镇园区山坪塘整治项目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平方</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山坪塘整治360m</w:t>
            </w:r>
            <w:r>
              <w:rPr>
                <w:rStyle w:val="22"/>
                <w:lang w:val="en-US" w:eastAsia="zh-CN" w:bidi="ar"/>
              </w:rPr>
              <w:t>³</w:t>
            </w:r>
            <w:r>
              <w:rPr>
                <w:rFonts w:hint="eastAsia" w:ascii="仿宋" w:hAnsi="仿宋" w:eastAsia="仿宋" w:cs="仿宋"/>
                <w:i w:val="0"/>
                <w:iCs w:val="0"/>
                <w:color w:val="000000"/>
                <w:kern w:val="0"/>
                <w:sz w:val="20"/>
                <w:szCs w:val="20"/>
                <w:u w:val="none"/>
                <w:lang w:val="en-US" w:eastAsia="zh-CN" w:bidi="ar"/>
              </w:rPr>
              <w:t>，安全护栏240㎡等配套设施。</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受益人口满意度≥90%，促进沫江村经济的发展，淫羊藿达到有效灌溉。受益人口1562余人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太平镇挹峨村产业路人居环境整治项目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挹峨村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对产业路挹峨村段2000米，开展人居环境整治。</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受益人口满意度≥90%，促进产业路沿线人居环境提升，生活质量提高，受益人口415余人。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379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太平镇罗一村产业路人居环境整治项目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罗一村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对产业路罗一村段2000米，开展人居环境整治。</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受益人口满意度≥90%，促进产业路沿线人居环境提升，生活质量提高，受益人口574余人。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574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乡村治理和精神文明建设</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太平镇沫江村农村公共环境提升项目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太平镇</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沫江村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米</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对沫江村公共环境整治、改善公共区域卫生环境提升3000米。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受益人口满意度≥90%，促进沫江村农文旅的发展。受益人口1565余人</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34.00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福禄镇万福桥村9组山坪塘维修整治项目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万福桥村9组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扩建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万福桥村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加固维修山坪塘2亩，加固维修塘边四周120米，厚度0.5米，高3米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联农带户吸纳群众务工70人次，其中脱贫群众务工20人次；预计带动农户增收5万元左右。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福禄镇大坪村3组安全饮水建设项目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大坪村3组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大坪村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拆除原80立方米蓄水池，新建200立方米蓄水池1口、80立方米蓄水池1口，配套PE32管2000米、PE25管1000米、水表70只，新建20平方米抽水机房1座，配套抽水泵1台、配电柜1套及安全防护栏设施</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吸纳群众务工40人次</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福禄镇红阳村2组产业路硬化项目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红阳村2组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红阳村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硬化红阳村2组吴春枝屋旁至陈林江处产业路长400米、宽2.5米、厚0.15米，C30混凝土。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150亩土地流转租金、联农带户吸纳群众务工100人次，其中脱贫群众务工50人次；预计带动农户增收3万元左右。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32.00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32.0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福禄镇红阳村9组产业路硬化项目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红阳村9组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红阳村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硬化红阳村9组雪地沟至王罗安处、涂明九处至龚其乐处产业路长600米、宽2.5米、厚0.18米，C30混凝土。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300亩土地流转租金、联农带户吸纳群众务工350人次，其中脱贫群众务工80人次；预计集体经济增收5万元、预计带动农户增收5万元左右。带动周边群众茶叶发展。</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福禄镇岚坝村大岚坝排灌沟渠整治项目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整治岚坝村大岚坝三湾大塘出口到漂地沱之间高标农田项目未覆盖的部分沟渠整治，长2000米、高1米，厚0.25米。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联农带户吸纳群众务工150人次，其中脱贫人员务工80人次，带动农户务工增收20万元左右。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675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福禄镇岚坝村佛手柑产业园区道路硬化项目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硬化佛手柑产业园区从下坝儿到青岗山长1000米、宽3.5米、厚0.18米，建设回车坝1处；硬化从坟嘴儿到石坝儿产业路长200米、宽3.5米、厚0.18米；建设回车坝2处。</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联农带农吸纳群众务工90人次，其中脱贫人员务工30人次，带动农户务工增收8万元左右。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329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1015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福禄镇岚坝村3组安全饮水建设项目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岚坝村3组修建1口75m</w:t>
            </w:r>
            <w:r>
              <w:rPr>
                <w:rStyle w:val="22"/>
                <w:lang w:val="en-US" w:eastAsia="zh-CN" w:bidi="ar"/>
              </w:rPr>
              <w:t>³</w:t>
            </w:r>
            <w:r>
              <w:rPr>
                <w:rFonts w:hint="eastAsia" w:ascii="仿宋" w:hAnsi="仿宋" w:eastAsia="仿宋" w:cs="仿宋"/>
                <w:i w:val="0"/>
                <w:iCs w:val="0"/>
                <w:color w:val="000000"/>
                <w:kern w:val="0"/>
                <w:sz w:val="20"/>
                <w:szCs w:val="20"/>
                <w:u w:val="none"/>
                <w:lang w:val="en-US" w:eastAsia="zh-CN" w:bidi="ar"/>
              </w:rPr>
              <w:t>蓄水池（5米宽，6米长，2.5米高），配套更换PE50管400米，PE32管1800米；岚坝村1组更换PE32管3000米，PE40管400米。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联农带户吸纳群众务工15人次，其中脱贫户务工5人次，带动农户务工增收3万元左右。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345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福禄镇沙湾儿村2组烟地坪产业路硬化项目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沙湾儿村2组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沙湾儿村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硬化沙湾儿村2组鹅儿坪到烟地坪产业路，长1750米、宽3.5米、厚0.18米，并清理路面、铺碎石、堡坎。</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联农带户吸纳群众务工500人次，其中脱贫群众务工150人次；预计集体经济增收1万元、预计带动农户增收12万元左右。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130.00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130.0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福禄镇青冈坪村4组产业路硬化项目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青冈坪村4组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青冈坪村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硬化青冈坪村4组吴学文至沟头180米、采神包至代坪100米、樱桃园区至沟头100米、罗荣至山顶上300米、赵仙银至叉角田900米等共计1580米产业路，硬化标准宽3米、厚度0.15米。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联农带户吸纳群众务工90人次、其中脱贫群众务工40人次，预计集体经济每年增收3万元，预计带动农户增收5万元左右。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435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974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48</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福禄镇燕子坎村3组产业路硬化项目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燕子坎村3组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硬化燕子坎村3组产业路1200米、宽3.5米、厚0.18米，C25混凝土。</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联农带户吸纳群众务工60人次；预计集体经济增收2万元、预计带动农户增收10万元左右。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54.00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54.0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207</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福禄镇燕子坎村5组生产排灌建设项目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燕子坎村5组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在燕子坎村5组新建200立方米灌溉水池1个，配套建设10平方米抽水泵房1间、潜水泵1台，配套管网主管PE75管2000米、PE50出水主管1000米、出水分管PE32管2000米及配件。</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联农带户吸纳群众务工50人次；预计集体经济增收2万元、预计带动农户增收10万元左右。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492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福禄镇燕子坎村中药材加工厂第二期设施设备安装项目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新购置直径1.08m滚筒1组（2个）、智能温控系统2套、1x2m镀锌板筛片16张、1.5Kw麦冬打根机2台、清洗池1座、彩钢瓦房104平方米，升级2.2Kw抖筛1台、拖拉机爬行档1项、变压器扩容1项。</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联农带户吸纳群众务工20人次；预计集体经济增收1万元。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福禄镇铜街子村泰国红柚产业园区建设项目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铜街子村村4组/6组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铜街子村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流转60亩林地，整理、填土，种植3600株泰国红柚、施肥、除草等。</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吸纳脱贫群众务工300人次，带动脱贫户年收入增加3000元，预计集体经济年增收10万元。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70.0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福禄镇干坝子村林竹产业园区建设项目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干坝子村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干坝子村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租赁土地500亩、种植竹子2.8万株、施肥、除草等；修建产业路2条2000米，修建50立方米蓄水池2口、铺设管道2000米。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联农带户吸纳群众务工100人次，其中脱贫群众务工50人次；预计集体经济增收2万元、预计带动农户增收10万元左右。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472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1430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137</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福禄镇燕子坎村中药材种植基地建设项目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燕子坎村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租赁土地150亩、整理土地150亩、土壤改良施肥、引种；购买农机设备、烘干设备等</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联农带户吸纳群众务工400人次；预计集体经济增收6万元、预计带动农户增收30万元左右。</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520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福禄镇铜街子村6组山坪塘维修整治项目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福禄镇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铜街子村6组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改建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铜街子村</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维修整治山坪塘20亩，加固维修塘边四周护坡800米、厚度0.4米、高3.5米；山坪塘清淤、种植藕20亩。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吸纳脱贫群众务工100人次，带动脱贫户年收入增加2000元，促进村级集体经济收入，预计年收入10万元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110.00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110.0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沙湾区2025年新型农村集体经济发展项目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修建闭环大型养鸭场1个，建设阳明山谷农业循环种养项目1个，建200亩茶园建设节水灌溉和水肥一体化项目1个，修建花园基础设施1套，建设木材加工厂1个，发展中药材种植100亩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增加集体经济收入80余万元，带动村民务工75个，年增加村民务工收入95万元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1135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235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2734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8595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264</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沙湾区2025欠发达国有林场巩固提升项目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沙湾区国有林场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发展林下种植1650亩，道路2.5公里</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1、发展林下冷竹1500亩。2、发展林下药材150亩。3、建设苗圃一个。4、投资配套设施建设300万元。</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270</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814</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自然资源局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沙湾区2025年基层组织活动和公共服务运行经费配套资金项目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各镇（街）村级公共运行维护资金</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按照4万元/村的标准进行补助</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690.0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690.0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108600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财政局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项目管理费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沙湾区2025年项目管理费</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用于项目的设计、监理、评审等费用</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用于项目的设计、监理、评审等费用</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80.0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2573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5943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2573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5943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项目管理费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沙湾区2025年先发带后发结对帮扶金口河区项目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对口援彝金口河</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对口援彝金口河</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6126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财政局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沙湾区2025年种养殖业发展补助项目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1920户4840人脱贫户发展小规模种养殖业到户产业</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人均补助衔接资金不超过2000元/人</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900.0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2573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5943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2573 </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5943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易地搬迁后扶</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沙湾区2025年易地扶贫搬迁贷款贴息补助项目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对292户易地扶贫搬迁户长期贷款进行贴息</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843人易地扶贫搬迁户政府贷款进行贴息补助，人均补助1115元。</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292</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843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发改局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巩固三保障成果</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沙湾区2025年雨露计划补助项目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对150名中、高职中每年3000元/年的补助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计划补助150人次，分为春、秋两季进行补助，每人每学期补助1500元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45.0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390</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沙湾区2025年小额信贷贴息项目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对69户小额贷款户进行不高于5%的贴息补助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对脱贫户（监测对象）提供发展生产小额贷款2－5万元，对贷款户进行不高于5%的贴息补助，户均贴息1500元。</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69</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186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就业项目</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沙湾区2025年跨区域就业务工交通补助项目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计划对1133名脱贫劳动力跨区域就业务工3个月以上的实行一次性交通补助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对脱贫劳动力（监测对象劳动力）跨区域就业务工3个月以上的实行一次性单程交通按实补助，人均补助883元。</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100.0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916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916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沙湾区2025年巩固脱贫成果补短板项目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计划对50户脱贫户（监测对象）实施安全饮水、入户路建设进行补助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入户路补助标准为500元/立方米按实补助；安全饮水标准标准为不高于5000元/户按实补助</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176</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176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产业发展</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沙湾区2025年农业保险保费补贴项目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用于农业政策性保险补助</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带动生产，其他</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10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15.0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108600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2571</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6126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乡村建设行动</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沙湾区2025年农村公路管理养护项目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全区农村公路700公里管理养护</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吸纳群众（含脱贫户）务工330人次，通过道路管养成果提升，确保群众生产生活出行快捷畅通</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50.0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36200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108600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2576</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6051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交运局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就业项目</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沙湾区2025年山洪灾害危险区基层责任人履职补贴项目</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解决山洪灾害危险区周边脱贫人口5人公益性岗位务工，每人每年补助0.36万元</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促进脱贫人口和监测帮扶对象持续稳定增加收入</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1.8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154</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385</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水务局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就业项目</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沙湾区2025年外出务工补助</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新建</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计划对脱贫劳动力区外就业3个月以上的实行一次性省外400元/人，区外300元/人（省外314人，区外省内819人）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促进脱贫人口和监测帮扶对象持续稳定增加收入</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37.0 </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37.0 </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0.00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 xml:space="preserve">0 </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1133</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1133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农业农村局</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合计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107</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仿宋" w:hAnsi="仿宋" w:eastAsia="仿宋" w:cs="仿宋"/>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11589.09</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10322.19</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738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518.9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289.076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145662</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432898</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19870</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5"/>
                <w:szCs w:val="15"/>
                <w:u w:val="none"/>
              </w:rPr>
            </w:pPr>
            <w:r>
              <w:rPr>
                <w:rFonts w:hint="eastAsia" w:ascii="仿宋" w:hAnsi="仿宋" w:eastAsia="仿宋" w:cs="仿宋"/>
                <w:i w:val="0"/>
                <w:iCs w:val="0"/>
                <w:color w:val="000000"/>
                <w:kern w:val="0"/>
                <w:sz w:val="15"/>
                <w:szCs w:val="15"/>
                <w:u w:val="none"/>
                <w:lang w:val="en-US" w:eastAsia="zh-CN" w:bidi="ar"/>
              </w:rPr>
              <w:t>44621</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0"/>
                <w:szCs w:val="20"/>
                <w:u w:val="none"/>
              </w:rPr>
            </w:pPr>
          </w:p>
        </w:tc>
      </w:tr>
    </w:tbl>
    <w:p>
      <w:pPr>
        <w:rPr>
          <w:rFonts w:hint="eastAsia"/>
          <w:lang w:val="en-US" w:eastAsia="zh-CN"/>
        </w:rPr>
      </w:pPr>
    </w:p>
    <w:p>
      <w:pPr>
        <w:rPr>
          <w:rFonts w:hint="eastAsia"/>
          <w:lang w:val="en-US" w:eastAsia="zh-CN"/>
        </w:rPr>
      </w:pPr>
    </w:p>
    <w:sectPr>
      <w:pgSz w:w="23811" w:h="16838" w:orient="landscape"/>
      <w:pgMar w:top="1349" w:right="1383" w:bottom="1349" w:left="1383" w:header="851" w:footer="992" w:gutter="0"/>
      <w:paperSrc/>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attachedTemplate r:id="rId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4C0D1B"/>
    <w:rsid w:val="04B33CB6"/>
    <w:rsid w:val="087408F2"/>
    <w:rsid w:val="08A37590"/>
    <w:rsid w:val="0C2E7A4A"/>
    <w:rsid w:val="0DEF72B5"/>
    <w:rsid w:val="114C0D1B"/>
    <w:rsid w:val="12BF232D"/>
    <w:rsid w:val="1500034B"/>
    <w:rsid w:val="153D58B9"/>
    <w:rsid w:val="1C94786F"/>
    <w:rsid w:val="1D334DBD"/>
    <w:rsid w:val="1DE124C1"/>
    <w:rsid w:val="2C66784B"/>
    <w:rsid w:val="2D650998"/>
    <w:rsid w:val="36AA5BC6"/>
    <w:rsid w:val="3F1F723D"/>
    <w:rsid w:val="4377362A"/>
    <w:rsid w:val="438C47BD"/>
    <w:rsid w:val="45EF5438"/>
    <w:rsid w:val="49A54456"/>
    <w:rsid w:val="4B044A88"/>
    <w:rsid w:val="4DC31E18"/>
    <w:rsid w:val="51815450"/>
    <w:rsid w:val="64657B5B"/>
    <w:rsid w:val="6BF5189D"/>
    <w:rsid w:val="6CC551FD"/>
    <w:rsid w:val="6D535020"/>
    <w:rsid w:val="75ED2886"/>
    <w:rsid w:val="7906608E"/>
    <w:rsid w:val="7C447249"/>
    <w:rsid w:val="7F5334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章标题"/>
    <w:basedOn w:val="1"/>
    <w:next w:val="3"/>
    <w:qFormat/>
    <w:uiPriority w:val="99"/>
    <w:pPr>
      <w:widowControl/>
      <w:spacing w:before="158" w:after="153" w:line="323" w:lineRule="atLeast"/>
      <w:ind w:right="-120"/>
      <w:jc w:val="center"/>
      <w:textAlignment w:val="baseline"/>
    </w:pPr>
    <w:rPr>
      <w:color w:val="FF0000"/>
      <w:sz w:val="18"/>
    </w:rPr>
  </w:style>
  <w:style w:type="paragraph" w:customStyle="1" w:styleId="3">
    <w:name w:val="节标题"/>
    <w:basedOn w:val="1"/>
    <w:next w:val="1"/>
    <w:unhideWhenUsed/>
    <w:qFormat/>
    <w:uiPriority w:val="99"/>
    <w:pPr>
      <w:spacing w:line="289" w:lineRule="atLeast"/>
      <w:jc w:val="center"/>
      <w:textAlignment w:val="baseline"/>
    </w:pPr>
    <w:rPr>
      <w:rFonts w:hint="eastAsia"/>
      <w:color w:val="000000"/>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61"/>
    <w:basedOn w:val="7"/>
    <w:qFormat/>
    <w:uiPriority w:val="0"/>
    <w:rPr>
      <w:rFonts w:hint="default" w:ascii="仿宋_GB2312" w:eastAsia="仿宋_GB2312" w:cs="仿宋_GB2312"/>
      <w:color w:val="000000"/>
      <w:sz w:val="20"/>
      <w:szCs w:val="20"/>
      <w:u w:val="none"/>
    </w:rPr>
  </w:style>
  <w:style w:type="character" w:customStyle="1" w:styleId="9">
    <w:name w:val="font121"/>
    <w:basedOn w:val="7"/>
    <w:qFormat/>
    <w:uiPriority w:val="0"/>
    <w:rPr>
      <w:rFonts w:hint="eastAsia" w:ascii="宋体" w:hAnsi="宋体" w:eastAsia="宋体" w:cs="宋体"/>
      <w:color w:val="000000"/>
      <w:sz w:val="20"/>
      <w:szCs w:val="20"/>
      <w:u w:val="none"/>
    </w:rPr>
  </w:style>
  <w:style w:type="character" w:customStyle="1" w:styleId="10">
    <w:name w:val="font81"/>
    <w:basedOn w:val="7"/>
    <w:qFormat/>
    <w:uiPriority w:val="0"/>
    <w:rPr>
      <w:rFonts w:hint="eastAsia" w:ascii="仿宋" w:hAnsi="仿宋" w:eastAsia="仿宋" w:cs="仿宋"/>
      <w:color w:val="000000"/>
      <w:sz w:val="20"/>
      <w:szCs w:val="20"/>
      <w:u w:val="none"/>
    </w:rPr>
  </w:style>
  <w:style w:type="character" w:customStyle="1" w:styleId="11">
    <w:name w:val="font141"/>
    <w:basedOn w:val="7"/>
    <w:qFormat/>
    <w:uiPriority w:val="0"/>
    <w:rPr>
      <w:rFonts w:hint="eastAsia" w:ascii="宋体" w:hAnsi="宋体" w:eastAsia="宋体" w:cs="宋体"/>
      <w:color w:val="000000"/>
      <w:sz w:val="20"/>
      <w:szCs w:val="20"/>
      <w:u w:val="none"/>
    </w:rPr>
  </w:style>
  <w:style w:type="character" w:customStyle="1" w:styleId="12">
    <w:name w:val="font01"/>
    <w:basedOn w:val="7"/>
    <w:qFormat/>
    <w:uiPriority w:val="0"/>
    <w:rPr>
      <w:rFonts w:hint="eastAsia" w:ascii="宋体" w:hAnsi="宋体" w:eastAsia="宋体" w:cs="宋体"/>
      <w:color w:val="000000"/>
      <w:sz w:val="22"/>
      <w:szCs w:val="22"/>
      <w:u w:val="none"/>
    </w:rPr>
  </w:style>
  <w:style w:type="character" w:customStyle="1" w:styleId="13">
    <w:name w:val="font161"/>
    <w:basedOn w:val="7"/>
    <w:qFormat/>
    <w:uiPriority w:val="0"/>
    <w:rPr>
      <w:rFonts w:ascii="Calibri" w:hAnsi="Calibri" w:cs="Calibri"/>
      <w:color w:val="000000"/>
      <w:sz w:val="22"/>
      <w:szCs w:val="22"/>
      <w:u w:val="none"/>
    </w:rPr>
  </w:style>
  <w:style w:type="character" w:customStyle="1" w:styleId="14">
    <w:name w:val="font11"/>
    <w:basedOn w:val="7"/>
    <w:qFormat/>
    <w:uiPriority w:val="0"/>
    <w:rPr>
      <w:rFonts w:hint="eastAsia" w:ascii="仿宋" w:hAnsi="仿宋" w:eastAsia="仿宋" w:cs="仿宋"/>
      <w:color w:val="000000"/>
      <w:sz w:val="18"/>
      <w:szCs w:val="18"/>
      <w:u w:val="none"/>
    </w:rPr>
  </w:style>
  <w:style w:type="character" w:customStyle="1" w:styleId="15">
    <w:name w:val="font31"/>
    <w:basedOn w:val="7"/>
    <w:qFormat/>
    <w:uiPriority w:val="0"/>
    <w:rPr>
      <w:rFonts w:hint="eastAsia" w:ascii="仿宋" w:hAnsi="仿宋" w:eastAsia="仿宋" w:cs="仿宋"/>
      <w:color w:val="000000"/>
      <w:sz w:val="18"/>
      <w:szCs w:val="18"/>
      <w:u w:val="none"/>
    </w:rPr>
  </w:style>
  <w:style w:type="character" w:customStyle="1" w:styleId="16">
    <w:name w:val="font71"/>
    <w:basedOn w:val="7"/>
    <w:qFormat/>
    <w:uiPriority w:val="0"/>
    <w:rPr>
      <w:rFonts w:hint="eastAsia" w:ascii="宋体" w:hAnsi="宋体" w:eastAsia="宋体" w:cs="宋体"/>
      <w:color w:val="000000"/>
      <w:sz w:val="18"/>
      <w:szCs w:val="18"/>
      <w:u w:val="none"/>
    </w:rPr>
  </w:style>
  <w:style w:type="character" w:customStyle="1" w:styleId="17">
    <w:name w:val="font41"/>
    <w:basedOn w:val="7"/>
    <w:qFormat/>
    <w:uiPriority w:val="0"/>
    <w:rPr>
      <w:rFonts w:hint="eastAsia" w:ascii="仿宋" w:hAnsi="仿宋" w:eastAsia="仿宋" w:cs="仿宋"/>
      <w:color w:val="000000"/>
      <w:sz w:val="18"/>
      <w:szCs w:val="18"/>
      <w:u w:val="none"/>
    </w:rPr>
  </w:style>
  <w:style w:type="character" w:customStyle="1" w:styleId="18">
    <w:name w:val="font112"/>
    <w:basedOn w:val="7"/>
    <w:qFormat/>
    <w:uiPriority w:val="0"/>
    <w:rPr>
      <w:rFonts w:hint="eastAsia" w:ascii="宋体" w:hAnsi="宋体" w:eastAsia="宋体" w:cs="宋体"/>
      <w:color w:val="000000"/>
      <w:sz w:val="18"/>
      <w:szCs w:val="18"/>
      <w:u w:val="none"/>
    </w:rPr>
  </w:style>
  <w:style w:type="character" w:customStyle="1" w:styleId="19">
    <w:name w:val="font51"/>
    <w:basedOn w:val="7"/>
    <w:qFormat/>
    <w:uiPriority w:val="0"/>
    <w:rPr>
      <w:rFonts w:hint="eastAsia" w:ascii="仿宋" w:hAnsi="仿宋" w:eastAsia="仿宋" w:cs="仿宋"/>
      <w:color w:val="000000"/>
      <w:sz w:val="18"/>
      <w:szCs w:val="18"/>
      <w:u w:val="none"/>
    </w:rPr>
  </w:style>
  <w:style w:type="character" w:customStyle="1" w:styleId="20">
    <w:name w:val="font21"/>
    <w:basedOn w:val="7"/>
    <w:qFormat/>
    <w:uiPriority w:val="0"/>
    <w:rPr>
      <w:rFonts w:hint="eastAsia" w:ascii="宋体" w:hAnsi="宋体" w:eastAsia="宋体" w:cs="宋体"/>
      <w:color w:val="000000"/>
      <w:sz w:val="22"/>
      <w:szCs w:val="22"/>
      <w:u w:val="none"/>
    </w:rPr>
  </w:style>
  <w:style w:type="character" w:customStyle="1" w:styleId="21">
    <w:name w:val="font131"/>
    <w:basedOn w:val="7"/>
    <w:qFormat/>
    <w:uiPriority w:val="0"/>
    <w:rPr>
      <w:rFonts w:hint="default" w:ascii="Arial" w:hAnsi="Arial" w:cs="Arial"/>
      <w:color w:val="000000"/>
      <w:sz w:val="20"/>
      <w:szCs w:val="20"/>
      <w:u w:val="none"/>
    </w:rPr>
  </w:style>
  <w:style w:type="character" w:customStyle="1" w:styleId="22">
    <w:name w:val="font101"/>
    <w:basedOn w:val="7"/>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2\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31</Pages>
  <Words>0</Words>
  <Characters>0</Characters>
  <Lines>0</Lines>
  <Paragraphs>0</Paragraphs>
  <TotalTime>4</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2018-11-23T00:49:00Z</dcterms:created>
  <dc:creator>lenovo2</dc:creator>
  <cp:lastModifiedBy>张海军</cp:lastModifiedBy>
  <cp:lastPrinted>2024-10-28T06:58:00Z</cp:lastPrinted>
  <dcterms:modified xsi:type="dcterms:W3CDTF">2024-11-13T08:47:57Z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26668AED9A0C4753ACA818C7E2C7AC2F</vt:lpwstr>
  </property>
</Properties>
</file>