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225" w:beforeAutospacing="0" w:after="225" w:afterAutospacing="0" w:line="360" w:lineRule="atLeast"/>
        <w:ind w:left="0" w:right="0" w:firstLine="600"/>
        <w:jc w:val="center"/>
        <w:rPr>
          <w:rFonts w:hint="eastAsia" w:ascii="黑体" w:hAnsi="黑体" w:eastAsia="黑体" w:cs="黑体"/>
          <w:b w:val="0"/>
          <w:i w:val="0"/>
          <w:caps w:val="0"/>
          <w:color w:val="000000"/>
          <w:spacing w:val="0"/>
          <w:sz w:val="44"/>
          <w:szCs w:val="44"/>
          <w:shd w:val="clear" w:fill="FFFFFF"/>
          <w:lang w:val="en-US" w:eastAsia="zh-CN"/>
        </w:rPr>
      </w:pPr>
      <w:r>
        <w:rPr>
          <w:rFonts w:hint="eastAsia" w:ascii="黑体" w:hAnsi="黑体" w:eastAsia="黑体" w:cs="黑体"/>
          <w:sz w:val="44"/>
          <w:szCs w:val="44"/>
          <w:lang w:val="en-US" w:eastAsia="zh-CN"/>
        </w:rPr>
        <w:t>沙湾区2024年度财政衔接推进乡村振兴补助资金项目计划完成情况的公告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640" w:firstLineChars="200"/>
        <w:jc w:val="left"/>
        <w:rPr>
          <w:rFonts w:hint="eastAsia"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kern w:val="0"/>
          <w:sz w:val="32"/>
          <w:szCs w:val="32"/>
          <w:shd w:val="clear" w:fill="FFFFFF"/>
          <w:lang w:val="en-US" w:eastAsia="zh-CN" w:bidi="ar"/>
        </w:rPr>
        <w:t>现将《沙湾区2024年度财政衔接推进乡村振兴补助资金项目计划完成情况》公告如下。欢迎参与监督。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640" w:firstLineChars="200"/>
        <w:jc w:val="left"/>
        <w:rPr>
          <w:rFonts w:hint="eastAsia"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kern w:val="0"/>
          <w:sz w:val="32"/>
          <w:szCs w:val="32"/>
          <w:shd w:val="clear" w:fill="FFFFFF"/>
          <w:lang w:val="en-US" w:eastAsia="zh-CN" w:bidi="ar"/>
        </w:rPr>
        <w:t>监督电话：08333441255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640" w:firstLineChars="200"/>
        <w:jc w:val="left"/>
        <w:rPr>
          <w:rFonts w:hint="eastAsia"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kern w:val="0"/>
          <w:sz w:val="32"/>
          <w:szCs w:val="32"/>
          <w:shd w:val="clear" w:fill="FFFFFF"/>
          <w:lang w:val="en-US" w:eastAsia="zh-CN" w:bidi="ar"/>
        </w:rPr>
        <w:t>电子邮箱：</w:t>
      </w:r>
      <w:r>
        <w:rPr>
          <w:rFonts w:hint="eastAsia" w:ascii="仿宋" w:hAnsi="仿宋" w:eastAsia="仿宋" w:cs="仿宋"/>
          <w:b w:val="0"/>
          <w:i w:val="0"/>
          <w:caps w:val="0"/>
          <w:color w:val="000000"/>
          <w:spacing w:val="0"/>
          <w:kern w:val="0"/>
          <w:sz w:val="32"/>
          <w:szCs w:val="32"/>
          <w:shd w:val="clear" w:fill="FFFFFF"/>
          <w:lang w:val="en-US" w:eastAsia="zh-CN" w:bidi="ar"/>
        </w:rPr>
        <w:fldChar w:fldCharType="begin"/>
      </w:r>
      <w:r>
        <w:rPr>
          <w:rFonts w:hint="eastAsia" w:ascii="仿宋" w:hAnsi="仿宋" w:eastAsia="仿宋" w:cs="仿宋"/>
          <w:b w:val="0"/>
          <w:i w:val="0"/>
          <w:caps w:val="0"/>
          <w:color w:val="000000"/>
          <w:spacing w:val="0"/>
          <w:kern w:val="0"/>
          <w:sz w:val="32"/>
          <w:szCs w:val="32"/>
          <w:shd w:val="clear" w:fill="FFFFFF"/>
          <w:lang w:val="en-US" w:eastAsia="zh-CN" w:bidi="ar"/>
        </w:rPr>
        <w:instrText xml:space="preserve"> HYPERLINK "mailto:416152215@qq.com，" </w:instrText>
      </w:r>
      <w:r>
        <w:rPr>
          <w:rFonts w:hint="eastAsia" w:ascii="仿宋" w:hAnsi="仿宋" w:eastAsia="仿宋" w:cs="仿宋"/>
          <w:b w:val="0"/>
          <w:i w:val="0"/>
          <w:caps w:val="0"/>
          <w:color w:val="000000"/>
          <w:spacing w:val="0"/>
          <w:kern w:val="0"/>
          <w:sz w:val="32"/>
          <w:szCs w:val="32"/>
          <w:shd w:val="clear" w:fill="FFFFFF"/>
          <w:lang w:val="en-US" w:eastAsia="zh-CN" w:bidi="ar"/>
        </w:rPr>
        <w:fldChar w:fldCharType="separate"/>
      </w:r>
      <w:r>
        <w:rPr>
          <w:rStyle w:val="4"/>
          <w:rFonts w:hint="eastAsia" w:ascii="仿宋" w:hAnsi="仿宋" w:eastAsia="仿宋" w:cs="仿宋"/>
          <w:b w:val="0"/>
          <w:i w:val="0"/>
          <w:caps w:val="0"/>
          <w:color w:val="000000"/>
          <w:spacing w:val="0"/>
          <w:kern w:val="0"/>
          <w:sz w:val="32"/>
          <w:szCs w:val="32"/>
          <w:shd w:val="clear" w:fill="FFFFFF"/>
          <w:lang w:val="en-US" w:eastAsia="zh-CN" w:bidi="ar"/>
        </w:rPr>
        <w:t>416152215@qq.com，</w:t>
      </w:r>
      <w:r>
        <w:rPr>
          <w:rFonts w:hint="eastAsia" w:ascii="仿宋" w:hAnsi="仿宋" w:eastAsia="仿宋" w:cs="仿宋"/>
          <w:b w:val="0"/>
          <w:i w:val="0"/>
          <w:caps w:val="0"/>
          <w:color w:val="000000"/>
          <w:spacing w:val="0"/>
          <w:kern w:val="0"/>
          <w:sz w:val="32"/>
          <w:szCs w:val="32"/>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640" w:firstLineChars="200"/>
        <w:jc w:val="left"/>
        <w:rPr>
          <w:rFonts w:hint="default"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kern w:val="0"/>
          <w:sz w:val="32"/>
          <w:szCs w:val="32"/>
          <w:shd w:val="clear" w:fill="FFFFFF"/>
          <w:lang w:val="en-US" w:eastAsia="zh-CN" w:bidi="ar"/>
        </w:rPr>
        <w:t>通讯地址：乐山市沙湾区农业农村局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20"/>
        <w:jc w:val="left"/>
        <w:rPr>
          <w:rFonts w:hint="eastAsia" w:ascii="仿宋" w:hAnsi="仿宋" w:eastAsia="仿宋" w:cs="仿宋"/>
          <w:b w:val="0"/>
          <w:i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640" w:firstLineChars="200"/>
        <w:jc w:val="left"/>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lang w:val="en-US" w:eastAsia="zh-CN" w:bidi="ar"/>
        </w:rPr>
        <w:t>附件：沙湾区2024年度财政衔接推进乡村振兴补助资金项目完成情况</w:t>
      </w:r>
    </w:p>
    <w:p/>
    <w:p/>
    <w:p/>
    <w:p/>
    <w:p/>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4160" w:firstLineChars="1300"/>
        <w:jc w:val="left"/>
        <w:rPr>
          <w:rFonts w:hint="eastAsia" w:ascii="仿宋" w:hAnsi="仿宋" w:eastAsia="仿宋" w:cs="仿宋"/>
          <w:b w:val="0"/>
          <w:i w:val="0"/>
          <w:caps w:val="0"/>
          <w:color w:val="000000"/>
          <w:spacing w:val="0"/>
          <w:kern w:val="0"/>
          <w:sz w:val="32"/>
          <w:szCs w:val="32"/>
          <w:shd w:val="clear" w:fill="FFFFFF"/>
          <w:lang w:val="en-US" w:eastAsia="zh-CN" w:bidi="ar"/>
        </w:rPr>
      </w:pPr>
      <w:r>
        <w:rPr>
          <w:rFonts w:hint="eastAsia" w:ascii="仿宋" w:hAnsi="仿宋" w:eastAsia="仿宋" w:cs="仿宋"/>
          <w:b w:val="0"/>
          <w:i w:val="0"/>
          <w:caps w:val="0"/>
          <w:color w:val="000000"/>
          <w:spacing w:val="0"/>
          <w:kern w:val="0"/>
          <w:sz w:val="32"/>
          <w:szCs w:val="32"/>
          <w:shd w:val="clear" w:fill="FFFFFF"/>
          <w:lang w:val="en-US" w:eastAsia="zh-CN" w:bidi="ar"/>
        </w:rPr>
        <w:t>乐山市沙湾区农业农村局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4800" w:firstLineChars="1500"/>
        <w:jc w:val="left"/>
      </w:pPr>
      <w:r>
        <w:rPr>
          <w:rFonts w:hint="eastAsia" w:ascii="仿宋" w:hAnsi="仿宋" w:eastAsia="仿宋" w:cs="仿宋"/>
          <w:b w:val="0"/>
          <w:i w:val="0"/>
          <w:caps w:val="0"/>
          <w:color w:val="000000"/>
          <w:spacing w:val="0"/>
          <w:kern w:val="0"/>
          <w:sz w:val="32"/>
          <w:szCs w:val="32"/>
          <w:shd w:val="clear" w:fill="FFFFFF"/>
          <w:lang w:val="en-US" w:eastAsia="zh-CN" w:bidi="ar"/>
        </w:rPr>
        <w:t>2025年3月6日</w:t>
      </w:r>
    </w:p>
    <w:p/>
    <w:p/>
    <w:p/>
    <w:p/>
    <w:p/>
    <w:p/>
    <w:p/>
    <w:p/>
    <w:p/>
    <w:p/>
    <w:p/>
    <w:p/>
    <w:p/>
    <w:p>
      <w:pPr>
        <w:sectPr>
          <w:pgSz w:w="11906" w:h="16838"/>
          <w:pgMar w:top="1440" w:right="1349" w:bottom="1440" w:left="1349" w:header="851" w:footer="992" w:gutter="0"/>
          <w:cols w:space="0" w:num="1"/>
          <w:rtlGutter w:val="0"/>
          <w:docGrid w:type="lines" w:linePitch="312" w:charSpace="0"/>
        </w:sectPr>
      </w:pPr>
    </w:p>
    <w:tbl>
      <w:tblPr>
        <w:tblStyle w:val="2"/>
        <w:tblpPr w:leftFromText="180" w:rightFromText="180" w:vertAnchor="text" w:horzAnchor="page" w:tblpX="1391" w:tblpY="1235"/>
        <w:tblOverlap w:val="never"/>
        <w:tblW w:w="21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5"/>
        <w:gridCol w:w="1710"/>
        <w:gridCol w:w="990"/>
        <w:gridCol w:w="1110"/>
        <w:gridCol w:w="825"/>
        <w:gridCol w:w="1215"/>
        <w:gridCol w:w="855"/>
        <w:gridCol w:w="2535"/>
        <w:gridCol w:w="915"/>
        <w:gridCol w:w="1005"/>
        <w:gridCol w:w="1020"/>
        <w:gridCol w:w="945"/>
        <w:gridCol w:w="3810"/>
        <w:gridCol w:w="1020"/>
        <w:gridCol w:w="810"/>
        <w:gridCol w:w="1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21431"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黑体" w:hAnsi="黑体" w:eastAsia="黑体" w:cs="黑体"/>
                <w:sz w:val="44"/>
                <w:szCs w:val="44"/>
              </w:rPr>
              <w:t>沙湾区202</w:t>
            </w:r>
            <w:r>
              <w:rPr>
                <w:rFonts w:hint="eastAsia" w:ascii="黑体" w:hAnsi="黑体" w:eastAsia="黑体" w:cs="黑体"/>
                <w:sz w:val="44"/>
                <w:szCs w:val="44"/>
                <w:lang w:val="en-US" w:eastAsia="zh-CN"/>
              </w:rPr>
              <w:t>4</w:t>
            </w:r>
            <w:r>
              <w:rPr>
                <w:rFonts w:hint="eastAsia" w:ascii="黑体" w:hAnsi="黑体" w:eastAsia="黑体" w:cs="黑体"/>
                <w:sz w:val="44"/>
                <w:szCs w:val="44"/>
              </w:rPr>
              <w:t>年度财政衔接推进乡村振兴补助资金项目计划完成情况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项目类别</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实施地点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建设性质</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责任单位</w:t>
            </w:r>
          </w:p>
        </w:tc>
        <w:tc>
          <w:tcPr>
            <w:tcW w:w="1108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年初项目计划</w:t>
            </w:r>
          </w:p>
        </w:tc>
        <w:tc>
          <w:tcPr>
            <w:tcW w:w="37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年末项目完成情况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建设周期</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建设任务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资金来源</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资金规模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筹资方式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绩效目标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项目进度</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绩效目标</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联农带农机制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沙湾区2024年种养殖业发展补助项目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1920户4840人脱贫户（监测对象）发展小规模种养殖业到户产业</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841.024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补助各类瓜果蔬菜种植面积≥127亩；2.数量指标：补助各类中药材种植面积≥97.5亩；3.数量指标：茶叶种植面积≥72亩；4.数量指标：猪养殖数量≥6565头；5.数量指标：牛养殖数量≥94头；6.数量指标：羊养殖数量≥117只；7.数量指标：鸡养殖数量≥38855只；8.数量指标：鸭养殖数量≥5092只；9.数量指标：鹅养殖数量≥643只；10.质量指标：种植作物成活率≥80%；11.质量指标：养殖家畜家禽成活率≥80%；12.成本指标：猪养殖补助标准1000元/头；13.成本指标：牛养殖补助标准3000元/头；14.成本指标：鸡养殖补助标准40元/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沙湾区蛋鸡产业集群项目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新建蛋鸡繁育基地 1 个，新建 1440 平方米蛋鸡舍 1 栋，配套相关养殖设备；扩建蛋鸡舍 2 栋，3050 平方米，配套 相关养殖设备。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1.数量指标：扩建蛋鸡鸡舍2栋3050平方；2.数量指标：新建蛋鸡繁育基地1个1440平方；3.质量指标：项目（工程）验收合格率100%；4.时效指标：项目（工程）完成及时率100%。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葫芦镇葫芦坝村林竹基地原材料加工项目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新建占地880平方米竹片加工厂（平场地、围墙网、地磅、活动板房、竹片加工设备、道路、电路）</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场地平整≧750平方米；2.数量指标：场地硬化≧80平方米；3.数量指标：钢架棚≧300平方米；4.数量指标：管理用房≧48平方米；5.数量指标：地磅50T-70T1个；6.质量指标：项目（工程）验收合格率100%；7.质量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吸纳10人务工，提供了就业机会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沙湾区2024年品牌宣传项目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沙湾区融媒体中心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根据沙湾区主导产业情况，开展品牌宣传不少于4次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1.数量指标：品牌宣传次数4次；2.质量指标：项目（工程）验收合格率100%；3.时效指标：项目（工程）完成及时率≥100%。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沙湾区2024年品牌推广项目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申报“中国川佛手”区域公共品牌，组织举办农产品产销对接系列活动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1.数量指标：申报区域公共品牌1个；2.数量指标：举办农产品产销对接活动1次；3.质量指标：项目（工程）验收合格率100%；4.时效指标：项目（工程）完成及时率≥100%。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沙湾区2024年农田建设改造提升项目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改造提升农田2万亩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1.数量指标：农田改造提升面积2万亩；2.质量指标：水质达标率100%。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福禄镇青冈坪村黑珍珠樱桃产业园配套项目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沙湾区福禄镇人民政府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马达岭园区建10亩镀锌钢管支架塑料薄膜伸缩大棚；修建混凝土蓄水池50方，配备PE32管300米和水泵（扬程100米）、4平方电缆200米；C25标准硬化产业路300米（宽3.5米，厚0.18米）。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镀锌钢管支架塑料薄膜伸缩大棚面积≥10亩；2.数量指标：修建灌溉设施及配套设备≥1个；3.数量指标：产业路硬化≥300米；4.质量指标：项目（工程）验收合格率100%；5.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促进集体经济年增收7万元，带动农户黑珍珠樱桃种植70亩。可以解决就业人35人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铜河街道新都村产业库房建设项目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铜河街道办事处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铜河街道办事处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新建新都村菊花产业库房180平方米。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1.数量指标：新建轻钢产业库房150平方米；2.数量指标：硬化库房地面150平方米；3.时效指标：项目（工程）完成及时率≥100%；4.质量指标：项目（工程）验收合格率100%。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进一步提升产业基地的发展，预计每年增加集体经济收入10万元，带动周边农户创收5万元。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葫芦镇四峨山村2024年茶叶产业基地项目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土地整理100亩；人工地力培肥100亩；购买铺设1米和2米宽防草布约50000㎡；种植茶苗20万株；修建100㎡凉茶房1个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整理土地≧100亩；2.数量指标：人工地力培肥≧100亩；3.数量指标：铺设1米和2米宽防草布≧50000㎡；4.数量指标：种植茶苗≧200000株；5.数量指标：修建100㎡凉茶房≧1个；6.质量指标：项目（工程）验收合格率100%；7.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57户农户租金收入350元/亩，共150亩；吸纳农户就业务工180人次，人均增收1000元/年。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太平镇园区轨道车建设项目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在绿化村佛手柑种植基地、沫江村淫羊藿基地建设轨道运输车2套（最终以设计预算为准）。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1.数量指标：轨道运输车2套；2.质量指标：项目（工程）验收合格率100%；3.时效指标：项目（工程）完成及时率100%。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受益人口满意度≥90%，促进绿化村、沫江村村经济的发展，村集体经济年纯收入增收10000余元，吸纳30余人务工，预计人均增收800元。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沙湾区中药材现代农业园区产业配套建设项目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1、新建田间市场二期框架结构房屋300㎡，室内300㎡的配套设施，污水处理设施及室外基础配套设施等；2、产销平台室内1200㎡的配套设施，高压变压器、电杆、电线及基础配套设施等（最终以设计预算为准）。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1.数量指标：框架结构房屋400㎡；2.数量指标：室内配套设施400㎡；3.数量指标：产销平台室内配套设施1200㎡；4.质量指标：项目（工程）验收合格率100%；5.时效指标：项目（工程）完成及时率100%。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受益人口满意度≥90%，促进沫江村村经济的发展，村集体经济增收10000余元，带动沫江村10余户发展种植淫羊藿50余亩，吸纳20余人务工，群众土地租金收益10000元，预计人均增收600元。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太平镇罗一村淫羊藿种植基地水肥项目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新建硬化产业路主干道长约1000米、宽3米、厚0.18米，新建硬化产业便道长约3500米、宽1.8米、厚0.1米，修复蓄水池1座，新建生产生活、畜牧及灌溉用水深水井1口</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灌溉用水深水井1口；2.数量指标：修复蓄水池1座；3.数量指标：硬化产业便道3.5千米；4.数量指标：硬化产业路主干道1千米；5.质量指标：项目（工程）验收合格率100%；6.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预计年种植收入约800万元，带动50余户发展种植淫羊藿300余亩，吸纳80余人务工，群众土地租金收益40万元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沙湾区2024年小额信贷贴息项目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对200户小额贷款户进行不高于5%的贴息补助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建档立卡脱贫户贷款申请满足率≥80%；2.数量指标：建档立卡脱贫户获得贷款金额≥2万元；3.质量指标：扶贫小额贷款还款率≥100%；4.质量指标：小额信贷贴息利率4.75%；5.质量指标：贷款风险补偿比率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沙湾区2024年农业保险保费补贴项目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沙湾区财政局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用于农业政策性保险补助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育肥猪投保数量6000头；2.数量指标：投保建档立卡脱贫户户数2579户；3.质量指标：对建档立卡脱贫户的风险保障水平100%；高于去年；4.受灾损失赔付率100%；5.时效指标：规定时点理赔结案率80%；6.成本指标：育肥猪保险补贴标准3000元/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沙湾区2024年养殖环节病死猪无害处理项目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病死猪无害化处理80元/头</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4.711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1.数量指标：病死猪无害化处理头数2100头；2.质量指标：病死猪无害化处理完成率100%；3.时效指标：病死猪无害化处理完成率100%；4.成本指标：病死猪无害化处理成本80元/头。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中省财政集体经济扶持村项目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流转60亩土地种植“金果G3”猕猴桃；新建160亩园区消毒灭菌防病自喷系统；购置花粉制作设备、小型农机设备、肥料产品转运配送车，设计制作产品包装；改建120立方/小时提灌站1个；新建50m</w:t>
            </w:r>
            <w:r>
              <w:rPr>
                <w:rFonts w:hint="eastAsia" w:ascii="宋体" w:hAnsi="宋体" w:eastAsia="宋体" w:cs="宋体"/>
                <w:i w:val="0"/>
                <w:iCs w:val="0"/>
                <w:color w:val="000000"/>
                <w:kern w:val="0"/>
                <w:sz w:val="16"/>
                <w:szCs w:val="16"/>
                <w:u w:val="none"/>
                <w:lang w:val="en-US" w:eastAsia="zh-CN" w:bidi="ar"/>
              </w:rPr>
              <w:t>²</w:t>
            </w:r>
            <w:r>
              <w:rPr>
                <w:rStyle w:val="18"/>
                <w:lang w:val="en-US" w:eastAsia="zh-CN" w:bidi="ar"/>
              </w:rPr>
              <w:t>的农资仓库2个；购买仔肉牛90头；采购青储饲料收割、粉碎、成型器一套；采购粪便干湿分离机、污水净化处理设备；新建产销平台结构主体房屋1200㎡，立面装修1200㎡等；标准化柔毛淫羊藿种植60亩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中、省、市、区级衔接资金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新发展猕猴桃园区≥60亩；2.数量指标：消毒灭菌防病自喷系统覆盖面积≥160亩；3.数量指标：改建提灌站1个；4.数量指标：新建农资仓库2个；1.数量指标：购买仔肉牛90头；5.数量指标：采购青储饲料收割、粉碎、成型器一套；6.数量指标：采购粪便干湿分离机、污水净化处理设备1套；1.数量指标：产销平台结构主体房屋1200㎡；7.数量指标：立面装修1200㎡；8.数量指标：标准化柔毛淫羊藿种植60亩；9.质量指标：项目（工程）验收合格率100%；10.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吸收35人务工，务工人员人均每年年务工收入10000元左右。群众流转土地，每年每亩可增加300元的收入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沙湾区2024年跨省就业一次性交通补助项目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计划对179名脱贫劳动力跨省就业3个月以上的实行一次性交通补助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11.0762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1.时效指标：补贴资金在规定时间内支付到位率≥95%；2.数量指标：省外务工人数≥179人。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沙湾区2024年外出务工补助</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计划对脱贫劳动力区外就业3个月以上的实行一次性省外400元/人，区外300元/人（省外210人，区外省内385人）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19.95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1.时效指标：补贴资金在规定时间内支付到位率≥95%；2.数量指标：省外务工人数≥210人；3.数量指标：县外省内务工人数≥385人。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山洪灾害危险区基层责任人履职补贴项目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沙湾区水务局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解决山洪灾害危险区周边脱贫人口3人公益性岗位务工，每人每年补助0.36万元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1.数量指标：享受公益性岗位补贴人数≥3人；2.成本指标：公益性岗位补贴人均标准300元/月；3.时效指标：补贴资金在规定时间内支付到位率≥100%。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沙湾区2024年巩固脱贫成果补短板项目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计划对50户脱贫户（监测对象）实施安全饮水、入户路建设、户用厕所改造进行补助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31.996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入户路里程≥312米；2.数量指标：安全饮水受益户数≥60户；3.数量指标：改造农村户厕≥7户；4.质量指标：项目完成合格率100%；5.时效指标：项目（工程）完成及时率100%；6.成本指标：入户路补助标准50元/米；7.成本指标：安全饮水补助标准≦5000元/户；8.成本指标：农村户厕改造补助标准≦2400元/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入户路补助标准为500元/立方米按实补助；厕所改造补助标准为不高于3500元/户按实补助；安全饮水标准标准为不高于5000元/户按实补助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轸溪镇永和村1组产业路硬化项目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实施产业发展道路硬化，实施长度1公里宽2.5米厚18公分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1.数量指标：硬化道路里程≥1000米；2.质量指标：项目工程完成合格率≥100%；3.时效指标：项目工程完成及时率≥100%。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增收产业帮扶机制，解决交通不便弊端，土地无经济效益困境，能有效促进产业发展，农户经济作物运输方便，受益农户14户43人（其中脱贫户4户11人）土地有利用价值，种植发展茶叶、经济作物等来促进人均增收约150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福禄镇燕子坎村中药材基地建设项目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茶叶地整改成中药材基地，土地整改120亩、土壤改良施肥、引种；新建C25混凝土硬化产业路1000米、宽3.5米、厚0.18米；新建灌溉水池150立方米1个、潜水泵1台，配套官网主管PE50管2000米、PE32管2000米、PE25管3000米及配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1.数量指标：土地整治≥120亩；2.数量指标：修建灌溉设施及配套设备≥1个；3.数量指标：产业路硬化≥1000米；4.质量指标：项目（工程）验收合格率100%；5.时效指标：项目（工程）完成及时率≥100%。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中药材基地成型后，扩大农业的生产能力，解决当地农户务工达700人次，带动农户增收56000元左右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沙湾镇先锋村生产便道硬化项目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硬化生产便道700米，宽度2.5米，厚度0.15米，C25混凝土浇筑。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1.数量指标：硬化路面0.15*2.5*700，C25浇筑700米；2.质量指标：项目（工程）验收合格率100%；3.时效指标：项目（工程）完成及时率100%；4.成本指标：硬化路面0.15*2.5*700（Ｃ25）25万元。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生产便道硬化后，将改善近100亩耕地生产条件，极大提高群众发展产业的积极性，计划由村经济合作社带动群众发展特色蔬菜种植，脱贫户预计人均增收1000元。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沙湾镇先锋村中药材园区产业路硬化工程项目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沙湾镇先锋村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硬化产业路700米，宽度3.5米，厚度0.15米，C25混凝土浇筑。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1.数量指标：硬化生产便道≥700米；2.质量指标：项目（工程）验收合格率100%；3.时效指标：项目（工程）完成及时率≥100%；4.成本指标：硬化生产便道补助标准35万元。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产业路硬化后，将极大改善中药材园区生产条件，进一步促进中药材产业规模化发展，促进普通群众及脱贫户持续稳定增收。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嘉农镇龙泉村安全饮水建设项目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嘉农镇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嘉农镇人民政府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铺设水管管网，主管PE110管2500米，新建1个200m3的蓄水池</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1.数量指标：安装PE管≥2500米；2.数量指标：新建蓄水池200m3≥1个；3.质量指标：项目（工程）验收合格率100%；4.时效指标：项目（工程）完成及时率≥100%。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保障群众饮水基本供给和饮水健康安全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轸溪镇双山村安全饮水工程项目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1.50管5000米；2.32管5000米；3.25管5000米；4.抽水泵1台；5.新建管护房1处（10平方）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1.数量指标：新增抽水泵1台；2.数量指标：新建管护房1处10平方；3.质量指标：项目工程完成合格率≥100%；4.时效指标：项目工程完成及时率≥100%。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双山村9个组的生活用水问题，受益415户1542人，其中脱贫户46户97人。可彻底解决双山村缺水的难题，推动土地流转，预计可流转土地一千亩，村集体经济每年收益约5万元，可带动本村三百人左右务工，群众人均直接可增收500元左右，间接人均增收200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福禄镇沙湾儿村佛手柑产业园区灌溉设施配套项目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新建100立方和50立方钢筋混凝土蓄水池各1口，安置管网PE25管2000米。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1.数量指标：新建混凝土蓄水池≥2口；2.数量指标：安置管网PE25管≥2000米；3.质量指标：项目（工程）验收合格率100%；4.时效指标：项目（工程）完成及时率≥100%。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促进集体经济年增收10万元，带动周边群众种植中药材黄金等50亩。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太平镇沫江村园区灌溉沟渠整治修复项目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整治修复沟渠、安装沟渠盖板1900米（最终以设计预算为准）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1.数量指标：整治修复沟渠1900米；2.数量指标：安装沟渠盖板1900米；3.质量指标：项目（工程）验收合格率100%；4.时效指标：项目（工程）完成及时率100%。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提升农村基础设施，优化产业，提升农产品增值能力，增加农民收入，使生态效益、经济效益和社会效益协调发展，吸纳15人务工，增加收入1000元。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踏水镇粮油园区基础设施提升改造项目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硬化路面700米；修建灌溉沟渠2500米；修建堡坎210米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1.数量指标：硬化路面700米；2.数量指标：修建渠堰2500米；3.数量指标：修建堡坎210米；4.质量指标：项目（工程）验收合格率100%；5.时效指标：项目（工程）完成及时率≥100%。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吸纳群众务工10人次、方便群众农业生产，降低群众种植成本10元/人。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轸溪镇万坪村4、5组集体经济茶园蓄水池建设项目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集体经济茶园新建两口50立方蓄水池32管2500米（水泥标号C25）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1.数量指标：新建50立方蓄水池2个；2.数量指标：安装PE32管2500米；3.质量指标：项目工程完成合格率≥100%；4.时效指标：项目完成及时率≥100%。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解决集体经济120余亩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茶园灌溉问题，带动全村1000余人参与务工，群众增收一万余元。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牛石镇豆地坪村茶叶+水果园区基础设施补短项目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修建园区农产品分拣区500平方；新建烘干设备一套及配套基础设施。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1.数量指标:农产品分拣区500平方米；2.数量指标:烘干设备1套；3.质量指标:项目完成合格率100%；4.时效指标:项目完成及时率100%。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修建园区农产品分拣区500平方，方便农产品的采收既转运。修建烘干设备及配套基础设施可提高集体经济种植的中药材加工及提供周边烘干服务。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福禄镇岚坝村排灌沟渠整治扩宽项目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整治、清淤、硬化排灌沟渠（烂包儿至东狱庙）长200米、高1.5米、扩宽至2.5米宽。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1.数量指标：整治、清淤、硬化排灌沟渠≥200米；2.质量指标：项目（工程）验收合格率100%；3.时效指标：项目（工程）完成及时率≥100%。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吸纳脱贫群众务工20人次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葫芦镇林竹产业基地农旅融合项目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新建农产品宣传牌2个，林竹产品宣传长廊1000平方，栽种琴丝竹、雷竹2万株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1.数量指标：林竹产品宣传长廊≥1000平方；2.数量指标：农产品宣传牌2个；3.数量指标：栽种琴丝竹、雷竹20000株；4.质量指标：项目（工程）验收合格率100%；5.时效指标：项目（工程）完成及时率≥100%。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吸纳10名农户参与工程建设人均收入增加2000元，吸纳15名农户到竹产业园区务工增加人均收入6000元/年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牛石镇安池村产业基地灌溉系统建设项目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沙湾区牛石镇人民政府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山坪塘整治2口（水面面积约8亩），安装取水管道1800米（PP75管）、30亩产业基地喷灌系统，建设200米机耕道</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1.数量指标：取水管1800米；2.数量指标：灌溉系统30亩；3.数量指标：机耕道200米；4.数量指标：山坪塘整治2口；5.质量指标：质量合格率≥100%；6.时效指标：完成及时率≥100%。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带动全村产业发展，改善全村300余人农业生产条件，减少农业生产成本，实现农业产业增收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葫芦镇葫芦坝村农村污水连片处理项目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农村污水集中处理点14个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1.数量指标：五格化粪池14个；2.时效指标：项目完成及时率≥100%；3.质量指标：项目验收合格率100%。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提升村级整体形象,改善村民生活环境。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轸溪镇轸溪村人居环境整治项目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沙湾区轸溪镇人民政府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修建垃圾亭15个（摆放4个分类垃圾桶，需硬化地面）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1.数量指标：修建垃圾亭≥15个；2.质量指标：项目工程完成合格率≥100%；3.时效指标：基础设施建设按期完成率≥100%。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营造干净、整洁的环境，提升300余户1000余人生活质量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沙湾区2024年农村公路管理养护项目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沙湾区交运局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全区农村公路700公里管理养护</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#N/A</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太平镇沫江村垃圾分类建设项目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建设垃圾分类回收房2套，及配套设施。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1.数量指标：建设垃圾分类回收房1套；2.质量指标：项目（工程）验收合格率100%；3.时效指标：项目（工程）完成及时率100%。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1受益人口满意度≥90%，一定程度上解决500余户人的垃圾分类处理，解决谭坝垃圾分类处理的难题。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太平镇绿化村人居环境整治项目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太平镇绿化村村委会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对绿化村沿沙谭路及产业路4000米长开展农村“五清行动”，沟渠清理、庭院治理、垃圾清理等。（最终以完成量为准）。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1.数量指标：开展农村“五清行动”里程4000米；2.质量指标：项目（工程）验收合格率100%；3.时效指标：项目（工程）完成及时率100%。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受益人口满意度≥90%，促进绿化村人居环境提升，生活质量提高，受益人口857余人。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太平镇谭坝村人居环境整治项目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太平镇谭坝村村委会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对谭坝村沿沙谭路及产业路4000米，开展农村“五清行动”沟渠清理、庭院治理、垃圾清理等。（最终以完成量为准）。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1.数量指标：开展农村“五清行动”里程3500米；2.质量指标：项目（工程）验收合格率100%；3.时效指标：项目（工程）完成及时率100%。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受益人口满意度≥90%，促进谭坝村人居环境提升，生活质量提高，受益人口1653余人。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太平镇挹峨村人居环境整治项目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太平镇挹峨村村民委员</w:t>
            </w:r>
            <w:bookmarkStart w:id="0" w:name="_GoBack"/>
            <w:bookmarkEnd w:id="0"/>
            <w:r>
              <w:rPr>
                <w:rFonts w:hint="eastAsia" w:ascii="仿宋" w:hAnsi="仿宋" w:eastAsia="仿宋" w:cs="仿宋"/>
                <w:i w:val="0"/>
                <w:iCs w:val="0"/>
                <w:color w:val="000000"/>
                <w:kern w:val="0"/>
                <w:sz w:val="16"/>
                <w:szCs w:val="16"/>
                <w:u w:val="none"/>
                <w:lang w:val="en-US" w:eastAsia="zh-CN" w:bidi="ar"/>
              </w:rPr>
              <w:t>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对产业路沿线1000米长开展农村“五清行动”沟渠清理、庭院治理、垃圾清理等。（最终以完成量为准）。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1.数量指标：开展农村“五清行动”里程1000米；2.质量指标：项目（工程）验收合格率100%；3.时效指标：项目（工程）完成及时率100%。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受益人口满意度≥90%，促进挹峨村人居环境提升，生活质量提高，受益人口857余人。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太平镇沫江村人居环境整治项目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太平镇沫江村村委会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对沫江村沙谭路、园区沿线4500米开展农村“五清行动”沟渠清理、庭院治理、垃圾清理等。（最终以完成量为准）。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84.1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1.数量指标：开展农村“五清行动”里程4500米；2.质量指标：项目（工程）验收合格率100%；3.时效指标：项目（工程）完成及时率100%。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受益人口满意度≥90%，促进绿化村人居环境提升，生活质量提高，受益人口857余人。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牛石镇豆地坪村人居环境提升项目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修建农户入户路口整治15处、防护栏500米、垃圾亭1个、基础设施1处、30平方米公共平台、200米堡坎修复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数量指标：农户入户路口整治15处；2.数量指标：防护栏500米；3.数量指标：垃圾亭1个；4.数量指标：公共平台30平方米；5.数量指标：堡坎修复200米；6.数量指标：基础设施1处；7.质量指标：项目完成合格率100%；8.时效指标：项目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保障150 余户 365 余人（其中：脱贫户65户132人）生产生活和出行安全，带动当地脱贫户8人收入共提升2万元/年，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踏水镇公坪村</w:t>
            </w:r>
            <w:r>
              <w:rPr>
                <w:rFonts w:hint="eastAsia" w:ascii="仿宋" w:hAnsi="仿宋" w:eastAsia="仿宋" w:cs="仿宋"/>
                <w:i w:val="0"/>
                <w:iCs w:val="0"/>
                <w:color w:val="000000"/>
                <w:kern w:val="0"/>
                <w:sz w:val="16"/>
                <w:szCs w:val="16"/>
                <w:u w:val="none"/>
                <w:lang w:val="en-US" w:eastAsia="zh-CN" w:bidi="ar"/>
              </w:rPr>
              <w:t>2024年度实施乡村振兴战略先进示范单位项目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沙湾区踏水镇人民政府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安装太阳能LED路灯，每40米一盏，共安装80盏路灯</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1.数量指标：安装路灯80盏；2.质量指标：项目（工程）验收合格率100%；3.时效指标：项目（工程）完成及时率≥100%；4.成本指标：路灯建设成本≤1.3万元/个。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有利于优化公坪村农业产业结构，拓宽农民就业渠道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沙湾区</w:t>
            </w:r>
            <w:r>
              <w:rPr>
                <w:rFonts w:hint="eastAsia" w:ascii="仿宋" w:hAnsi="仿宋" w:eastAsia="仿宋" w:cs="仿宋"/>
                <w:i w:val="0"/>
                <w:iCs w:val="0"/>
                <w:color w:val="000000"/>
                <w:kern w:val="0"/>
                <w:sz w:val="16"/>
                <w:szCs w:val="16"/>
                <w:u w:val="none"/>
                <w:lang w:val="en-US" w:eastAsia="zh-CN" w:bidi="ar"/>
              </w:rPr>
              <w:t>2024年易地扶贫搬迁贷款贴息补助项目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易地搬迁后扶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沙湾区发改局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对292户易地扶贫搬迁户长期贷款进行贴息</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中央衔接资金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1.数量指标：贴息户数292户；2.数量指标：建档立卡脱贫人口843人；3.质量指标：完成率≥100%；4.时效指标：完成项目及时率≥100%。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843人易地扶贫搬迁户政府贷款进行贴息补助，人均补助1115元。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沙湾区</w:t>
            </w:r>
            <w:r>
              <w:rPr>
                <w:rFonts w:hint="eastAsia" w:ascii="仿宋" w:hAnsi="仿宋" w:eastAsia="仿宋" w:cs="仿宋"/>
                <w:i w:val="0"/>
                <w:iCs w:val="0"/>
                <w:color w:val="000000"/>
                <w:kern w:val="0"/>
                <w:sz w:val="16"/>
                <w:szCs w:val="16"/>
                <w:u w:val="none"/>
                <w:lang w:val="en-US" w:eastAsia="zh-CN" w:bidi="ar"/>
              </w:rPr>
              <w:t>2024年雨露计划补助项目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巩固三保障成果</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对150名中、高职中每年3000元/年的补助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省级衔接资金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资助建档立卡脱贫户子女人数≥150人；2.质量指标：接受补助的学生中建档立卡脱贫户子女占比≥100%；3.时效指标：资助经费及时发放率100%；4.成本指标：建档立卡脱贫户子女生均资助标准3000元/学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计划补助150人次，分为春、秋两季进行补助，每人每学期补助1500元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沙湾区</w:t>
            </w:r>
            <w:r>
              <w:rPr>
                <w:rFonts w:hint="eastAsia" w:ascii="仿宋" w:hAnsi="仿宋" w:eastAsia="仿宋" w:cs="仿宋"/>
                <w:i w:val="0"/>
                <w:iCs w:val="0"/>
                <w:color w:val="000000"/>
                <w:kern w:val="0"/>
                <w:sz w:val="16"/>
                <w:szCs w:val="16"/>
                <w:u w:val="none"/>
                <w:lang w:val="en-US" w:eastAsia="zh-CN" w:bidi="ar"/>
              </w:rPr>
              <w:t>2024年扶贫保项目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巩固三保障成果</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计划为2576户脱贫户（监测对象）购买扶贫保，标准42元/户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资助建档立卡脱贫人口参加补充医疗保险人数≥6052人；2.质量指标：县域内建档立卡脱贫人口医疗保险和医疗救助费用“一站式”结算率≥100%；3.质量指标：医疗救助重点救助对象自负费用年度限额内住院救助比例≥70%；4.质量指标：建档立卡脱贫人口慢性病管理率≥80%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2576户脱贫户（监测对象）购买扶贫保，标准42元/户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福禄镇红阳村积分制、清单式推广试点项目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乡村治理和精神文明建设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沙湾区福禄镇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1.新建24平方积分超市；2.村规民约牌1个；3.制度牌1套；4.宣传资料500份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新建积分制超市≧24㎡；2.数量指标：新建村规民约牌≧1个；3.数量指标：积分制、清单制制度牌≧1套；4.数量指标：发放宣传资料≧500份；5.质量指标：项目（工程）验收合格率100%；6.时效指标：项目（工程）完成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沙湾区</w:t>
            </w:r>
            <w:r>
              <w:rPr>
                <w:rFonts w:hint="eastAsia" w:ascii="仿宋" w:hAnsi="仿宋" w:eastAsia="仿宋" w:cs="仿宋"/>
                <w:i w:val="0"/>
                <w:iCs w:val="0"/>
                <w:color w:val="000000"/>
                <w:kern w:val="0"/>
                <w:sz w:val="16"/>
                <w:szCs w:val="16"/>
                <w:u w:val="none"/>
                <w:lang w:val="en-US" w:eastAsia="zh-CN" w:bidi="ar"/>
              </w:rPr>
              <w:t>2024年基层组织活动和公共服务运行经费配套资金项目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沙湾区财政局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各镇（街）村级公共运行维护资金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市、区级衔接资金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1.数量指标：保障农村村级数量≥127个；2.数量指标：每个村拨付金额≥4万元；3.质量指标：资金拨付准确率≥100%；4.时效指标：资金拨付及时率≥100%。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按照4万元/村的标准进行补助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Style w:val="18"/>
                <w:lang w:val="en-US" w:eastAsia="zh-CN" w:bidi="ar"/>
              </w:rPr>
              <w:t>沙湾区</w:t>
            </w:r>
            <w:r>
              <w:rPr>
                <w:rFonts w:hint="eastAsia" w:ascii="仿宋" w:hAnsi="仿宋" w:eastAsia="仿宋" w:cs="仿宋"/>
                <w:i w:val="0"/>
                <w:iCs w:val="0"/>
                <w:color w:val="000000"/>
                <w:kern w:val="0"/>
                <w:sz w:val="16"/>
                <w:szCs w:val="16"/>
                <w:u w:val="none"/>
                <w:lang w:val="en-US" w:eastAsia="zh-CN" w:bidi="ar"/>
              </w:rPr>
              <w:t>2024年项目管理费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用于项目的设计、监理、评审等费用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81.2738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1.数量指标受益镇（街道）9个；2.质量指标：补助资金拨付准确率100%；3.时效指标：补助资金及时发放率100%。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用于项目的设计、监理、评审等费用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沙湾区先发带后发结对帮扶金口河区项目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对口援助工作队</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对口援彝金口河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区级衔接资金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1.数量指标：对口帮扶县个数1个；2.质量指标：资金拨付准确率100%；3.时效指标：资金及时发放率100%。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对口援彝金口河</w:t>
            </w:r>
          </w:p>
        </w:tc>
      </w:tr>
    </w:tbl>
    <w:p>
      <w:pPr>
        <w:rPr>
          <w:rFonts w:hint="default" w:ascii="仿宋" w:hAnsi="仿宋" w:eastAsia="仿宋" w:cs="仿宋"/>
          <w:sz w:val="15"/>
          <w:szCs w:val="15"/>
          <w:lang w:val="en-US" w:eastAsia="zh-CN"/>
        </w:rPr>
      </w:pPr>
    </w:p>
    <w:sectPr>
      <w:pgSz w:w="23811" w:h="16838" w:orient="landscape"/>
      <w:pgMar w:top="1349" w:right="1327" w:bottom="1349" w:left="132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 w:name="KSO_WPS_MARK_KEY" w:val="954f77a6-f862-4b59-9a23-ca9ad5c4fdf7"/>
  </w:docVars>
  <w:rsids>
    <w:rsidRoot w:val="769C12E6"/>
    <w:rsid w:val="045823CC"/>
    <w:rsid w:val="0C342956"/>
    <w:rsid w:val="0E650E25"/>
    <w:rsid w:val="0F423924"/>
    <w:rsid w:val="0FA5756B"/>
    <w:rsid w:val="11262024"/>
    <w:rsid w:val="11666554"/>
    <w:rsid w:val="1A864A6B"/>
    <w:rsid w:val="1C67054F"/>
    <w:rsid w:val="1EAC244D"/>
    <w:rsid w:val="1F045558"/>
    <w:rsid w:val="1FD227B7"/>
    <w:rsid w:val="210F3AF4"/>
    <w:rsid w:val="291E67BE"/>
    <w:rsid w:val="2E46487B"/>
    <w:rsid w:val="2E6C178D"/>
    <w:rsid w:val="31EB74FA"/>
    <w:rsid w:val="33CB421C"/>
    <w:rsid w:val="38EF319A"/>
    <w:rsid w:val="3BBA49CF"/>
    <w:rsid w:val="3F0E31BA"/>
    <w:rsid w:val="410F2605"/>
    <w:rsid w:val="43FD60FD"/>
    <w:rsid w:val="476C4A3C"/>
    <w:rsid w:val="49116B8E"/>
    <w:rsid w:val="49DF5E38"/>
    <w:rsid w:val="4BA932A5"/>
    <w:rsid w:val="4F526A0B"/>
    <w:rsid w:val="502F288B"/>
    <w:rsid w:val="5078456F"/>
    <w:rsid w:val="521D4F6D"/>
    <w:rsid w:val="580A79C0"/>
    <w:rsid w:val="5B820899"/>
    <w:rsid w:val="647E2CA7"/>
    <w:rsid w:val="69E41F0E"/>
    <w:rsid w:val="6BC404DB"/>
    <w:rsid w:val="6FAA3E8A"/>
    <w:rsid w:val="6FF370C7"/>
    <w:rsid w:val="74E3231E"/>
    <w:rsid w:val="769C12E6"/>
    <w:rsid w:val="7A0235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customStyle="1" w:styleId="5">
    <w:name w:val="font71"/>
    <w:basedOn w:val="3"/>
    <w:qFormat/>
    <w:uiPriority w:val="0"/>
    <w:rPr>
      <w:rFonts w:hint="eastAsia" w:ascii="宋体" w:hAnsi="宋体" w:eastAsia="宋体" w:cs="宋体"/>
      <w:color w:val="000000"/>
      <w:sz w:val="20"/>
      <w:szCs w:val="20"/>
      <w:u w:val="none"/>
    </w:rPr>
  </w:style>
  <w:style w:type="character" w:customStyle="1" w:styleId="6">
    <w:name w:val="font121"/>
    <w:basedOn w:val="3"/>
    <w:qFormat/>
    <w:uiPriority w:val="0"/>
    <w:rPr>
      <w:rFonts w:hint="default" w:ascii="Courier New" w:hAnsi="Courier New" w:cs="Courier New"/>
      <w:color w:val="000000"/>
      <w:sz w:val="20"/>
      <w:szCs w:val="20"/>
      <w:u w:val="none"/>
    </w:rPr>
  </w:style>
  <w:style w:type="character" w:customStyle="1" w:styleId="7">
    <w:name w:val="font131"/>
    <w:basedOn w:val="3"/>
    <w:qFormat/>
    <w:uiPriority w:val="0"/>
    <w:rPr>
      <w:rFonts w:hint="default" w:ascii="Courier New" w:hAnsi="Courier New" w:cs="Courier New"/>
      <w:color w:val="000000"/>
      <w:sz w:val="20"/>
      <w:szCs w:val="20"/>
      <w:u w:val="none"/>
    </w:rPr>
  </w:style>
  <w:style w:type="character" w:customStyle="1" w:styleId="8">
    <w:name w:val="font91"/>
    <w:basedOn w:val="3"/>
    <w:qFormat/>
    <w:uiPriority w:val="0"/>
    <w:rPr>
      <w:rFonts w:ascii="Calibri" w:hAnsi="Calibri" w:cs="Calibri"/>
      <w:color w:val="000000"/>
      <w:sz w:val="21"/>
      <w:szCs w:val="21"/>
      <w:u w:val="none"/>
    </w:rPr>
  </w:style>
  <w:style w:type="character" w:customStyle="1" w:styleId="9">
    <w:name w:val="font101"/>
    <w:basedOn w:val="3"/>
    <w:qFormat/>
    <w:uiPriority w:val="0"/>
    <w:rPr>
      <w:rFonts w:hint="eastAsia" w:ascii="仿宋" w:hAnsi="仿宋" w:eastAsia="仿宋" w:cs="仿宋"/>
      <w:color w:val="000000"/>
      <w:sz w:val="22"/>
      <w:szCs w:val="22"/>
      <w:u w:val="none"/>
    </w:rPr>
  </w:style>
  <w:style w:type="character" w:customStyle="1" w:styleId="10">
    <w:name w:val="font111"/>
    <w:basedOn w:val="3"/>
    <w:qFormat/>
    <w:uiPriority w:val="0"/>
    <w:rPr>
      <w:rFonts w:hint="eastAsia" w:ascii="仿宋" w:hAnsi="仿宋" w:eastAsia="仿宋" w:cs="仿宋"/>
      <w:color w:val="000000"/>
      <w:sz w:val="24"/>
      <w:szCs w:val="24"/>
      <w:u w:val="none"/>
    </w:rPr>
  </w:style>
  <w:style w:type="character" w:customStyle="1" w:styleId="11">
    <w:name w:val="font81"/>
    <w:basedOn w:val="3"/>
    <w:qFormat/>
    <w:uiPriority w:val="0"/>
    <w:rPr>
      <w:rFonts w:ascii="Courier New" w:hAnsi="Courier New" w:cs="Courier New"/>
      <w:color w:val="000000"/>
      <w:sz w:val="20"/>
      <w:szCs w:val="20"/>
      <w:u w:val="none"/>
    </w:rPr>
  </w:style>
  <w:style w:type="character" w:customStyle="1" w:styleId="12">
    <w:name w:val="font61"/>
    <w:basedOn w:val="3"/>
    <w:qFormat/>
    <w:uiPriority w:val="0"/>
    <w:rPr>
      <w:rFonts w:hint="eastAsia" w:ascii="宋体" w:hAnsi="宋体" w:eastAsia="宋体" w:cs="宋体"/>
      <w:color w:val="000000"/>
      <w:sz w:val="20"/>
      <w:szCs w:val="20"/>
      <w:u w:val="none"/>
    </w:rPr>
  </w:style>
  <w:style w:type="character" w:customStyle="1" w:styleId="13">
    <w:name w:val="font132"/>
    <w:basedOn w:val="3"/>
    <w:qFormat/>
    <w:uiPriority w:val="0"/>
    <w:rPr>
      <w:rFonts w:hint="default" w:ascii="Arial" w:hAnsi="Arial" w:cs="Arial"/>
      <w:color w:val="000000"/>
      <w:sz w:val="20"/>
      <w:szCs w:val="20"/>
      <w:u w:val="none"/>
    </w:rPr>
  </w:style>
  <w:style w:type="character" w:customStyle="1" w:styleId="14">
    <w:name w:val="font141"/>
    <w:basedOn w:val="3"/>
    <w:qFormat/>
    <w:uiPriority w:val="0"/>
    <w:rPr>
      <w:rFonts w:hint="eastAsia" w:ascii="宋体" w:hAnsi="宋体" w:eastAsia="宋体" w:cs="宋体"/>
      <w:color w:val="000000"/>
      <w:sz w:val="22"/>
      <w:szCs w:val="22"/>
      <w:u w:val="none"/>
    </w:rPr>
  </w:style>
  <w:style w:type="character" w:customStyle="1" w:styleId="15">
    <w:name w:val="font151"/>
    <w:basedOn w:val="3"/>
    <w:qFormat/>
    <w:uiPriority w:val="0"/>
    <w:rPr>
      <w:rFonts w:hint="default" w:ascii="Courier New" w:hAnsi="Courier New" w:cs="Courier New"/>
      <w:color w:val="000000"/>
      <w:sz w:val="22"/>
      <w:szCs w:val="22"/>
      <w:u w:val="none"/>
    </w:rPr>
  </w:style>
  <w:style w:type="character" w:customStyle="1" w:styleId="16">
    <w:name w:val="font41"/>
    <w:basedOn w:val="3"/>
    <w:qFormat/>
    <w:uiPriority w:val="0"/>
    <w:rPr>
      <w:rFonts w:hint="eastAsia" w:ascii="仿宋" w:hAnsi="仿宋" w:eastAsia="仿宋" w:cs="仿宋"/>
      <w:color w:val="000000"/>
      <w:sz w:val="22"/>
      <w:szCs w:val="22"/>
      <w:u w:val="none"/>
    </w:rPr>
  </w:style>
  <w:style w:type="character" w:customStyle="1" w:styleId="17">
    <w:name w:val="font51"/>
    <w:basedOn w:val="3"/>
    <w:qFormat/>
    <w:uiPriority w:val="0"/>
    <w:rPr>
      <w:rFonts w:hint="eastAsia" w:ascii="仿宋" w:hAnsi="仿宋" w:eastAsia="仿宋" w:cs="仿宋"/>
      <w:color w:val="000000"/>
      <w:sz w:val="16"/>
      <w:szCs w:val="16"/>
      <w:u w:val="none"/>
    </w:rPr>
  </w:style>
  <w:style w:type="character" w:customStyle="1" w:styleId="18">
    <w:name w:val="font31"/>
    <w:basedOn w:val="3"/>
    <w:qFormat/>
    <w:uiPriority w:val="0"/>
    <w:rPr>
      <w:rFonts w:hint="eastAsia" w:ascii="仿宋" w:hAnsi="仿宋" w:eastAsia="仿宋" w:cs="仿宋"/>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11365</Words>
  <Characters>12818</Characters>
  <Lines>0</Lines>
  <Paragraphs>0</Paragraphs>
  <TotalTime>2</TotalTime>
  <ScaleCrop>false</ScaleCrop>
  <LinksUpToDate>false</LinksUpToDate>
  <CharactersWithSpaces>12831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2018-12-25T01:41:00Z</dcterms:created>
  <dc:creator>lenovo2</dc:creator>
  <cp:lastModifiedBy>Administrator</cp:lastModifiedBy>
  <cp:lastPrinted>2019-08-28T07:23:00Z</cp:lastPrinted>
  <dcterms:modified xsi:type="dcterms:W3CDTF">2025-03-25T02:10:44Z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511DD069018C4EF687F718551EEBCF95</vt:lpwstr>
  </property>
</Properties>
</file>