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hint="default" w:ascii="方正小标宋简体" w:hAnsi="宋体" w:eastAsia="方正小标宋简体"/>
          <w:color w:val="auto"/>
          <w:sz w:val="72"/>
          <w:szCs w:val="72"/>
          <w:highlight w:val="none"/>
          <w:lang w:val="en-US" w:eastAsia="zh-CN"/>
        </w:rPr>
      </w:pPr>
      <w:bookmarkStart w:id="0" w:name="_Toc15306267"/>
    </w:p>
    <w:p>
      <w:pPr>
        <w:spacing w:line="600" w:lineRule="exact"/>
        <w:jc w:val="center"/>
        <w:outlineLvl w:val="9"/>
        <w:rPr>
          <w:rFonts w:ascii="方正小标宋简体" w:hAnsi="宋体" w:eastAsia="方正小标宋简体"/>
          <w:color w:val="auto"/>
          <w:sz w:val="72"/>
          <w:szCs w:val="72"/>
          <w:highlight w:val="none"/>
        </w:rPr>
      </w:pPr>
    </w:p>
    <w:p>
      <w:pPr>
        <w:spacing w:line="600" w:lineRule="exact"/>
        <w:jc w:val="center"/>
        <w:outlineLvl w:val="9"/>
        <w:rPr>
          <w:rFonts w:ascii="方正小标宋简体" w:hAnsi="宋体" w:eastAsia="方正小标宋简体"/>
          <w:color w:val="auto"/>
          <w:sz w:val="72"/>
          <w:szCs w:val="72"/>
          <w:highlight w:val="none"/>
        </w:rPr>
      </w:pPr>
    </w:p>
    <w:p>
      <w:pPr>
        <w:spacing w:line="600" w:lineRule="exact"/>
        <w:jc w:val="center"/>
        <w:outlineLvl w:val="9"/>
        <w:rPr>
          <w:rFonts w:ascii="方正小标宋简体" w:hAnsi="宋体" w:eastAsia="方正小标宋简体"/>
          <w:color w:val="auto"/>
          <w:sz w:val="72"/>
          <w:szCs w:val="72"/>
          <w:highlight w:val="none"/>
        </w:rPr>
      </w:pPr>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lang w:val="en-US" w:eastAsia="zh-CN"/>
        </w:rPr>
      </w:pPr>
      <w:bookmarkStart w:id="1" w:name="_Toc15396475"/>
      <w:bookmarkStart w:id="2" w:name="_Toc6854"/>
      <w:bookmarkStart w:id="3" w:name="_Toc15377425"/>
      <w:bookmarkStart w:id="4" w:name="_Toc15396597"/>
      <w:bookmarkStart w:id="5" w:name="_Toc15377193"/>
      <w:bookmarkStart w:id="6" w:name="_Toc15378441"/>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21</w:t>
      </w:r>
      <w:r>
        <w:rPr>
          <w:rFonts w:hint="eastAsia" w:ascii="方正小标宋简体" w:hAnsi="方正小标宋简体" w:eastAsia="方正小标宋简体" w:cs="方正小标宋简体"/>
          <w:color w:val="auto"/>
          <w:sz w:val="72"/>
          <w:szCs w:val="72"/>
          <w:highlight w:val="none"/>
        </w:rPr>
        <w:t>年度</w:t>
      </w:r>
      <w:bookmarkEnd w:id="1"/>
      <w:bookmarkEnd w:id="2"/>
      <w:bookmarkEnd w:id="3"/>
      <w:bookmarkEnd w:id="4"/>
      <w:bookmarkEnd w:id="5"/>
      <w:bookmarkEnd w:id="6"/>
    </w:p>
    <w:bookmarkEnd w:id="0"/>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lang w:val="en-US" w:eastAsia="zh-CN"/>
        </w:rPr>
      </w:pPr>
      <w:bookmarkStart w:id="7" w:name="_Toc15396598"/>
      <w:bookmarkStart w:id="8" w:name="_Toc15378442"/>
      <w:bookmarkStart w:id="9" w:name="_Toc15377194"/>
      <w:bookmarkStart w:id="10" w:name="_Toc15306268"/>
      <w:bookmarkStart w:id="11" w:name="_Toc15377426"/>
      <w:bookmarkStart w:id="12" w:name="_Toc15396476"/>
      <w:bookmarkStart w:id="13" w:name="_Toc16067"/>
      <w:r>
        <w:rPr>
          <w:rFonts w:hint="eastAsia" w:ascii="方正小标宋简体" w:hAnsi="方正小标宋简体" w:eastAsia="方正小标宋简体" w:cs="方正小标宋简体"/>
          <w:b w:val="0"/>
          <w:bCs w:val="0"/>
          <w:color w:val="auto"/>
          <w:sz w:val="72"/>
          <w:szCs w:val="72"/>
          <w:highlight w:val="none"/>
          <w:lang w:val="en-US" w:eastAsia="zh-CN"/>
        </w:rPr>
        <w:t>乐山市沙湾区妇幼保健计划生育服务中心</w:t>
      </w:r>
      <w:r>
        <w:rPr>
          <w:rFonts w:hint="eastAsia" w:ascii="方正小标宋简体" w:hAnsi="方正小标宋简体" w:eastAsia="方正小标宋简体" w:cs="方正小标宋简体"/>
          <w:b w:val="0"/>
          <w:bCs w:val="0"/>
          <w:color w:val="auto"/>
          <w:sz w:val="72"/>
          <w:szCs w:val="72"/>
          <w:highlight w:val="none"/>
          <w:lang w:eastAsia="zh-CN"/>
        </w:rPr>
        <w:t>单位决算</w:t>
      </w:r>
      <w:bookmarkEnd w:id="7"/>
      <w:bookmarkEnd w:id="8"/>
      <w:bookmarkEnd w:id="9"/>
      <w:bookmarkEnd w:id="10"/>
      <w:bookmarkEnd w:id="11"/>
      <w:bookmarkEnd w:id="12"/>
      <w:bookmarkEnd w:id="13"/>
    </w:p>
    <w:p>
      <w:pPr>
        <w:spacing w:before="0" w:beforeLines="0" w:after="0" w:afterLines="0" w:line="240" w:lineRule="auto"/>
        <w:ind w:left="0" w:leftChars="0" w:right="0" w:rightChars="0" w:firstLine="0" w:firstLineChars="0"/>
        <w:jc w:val="center"/>
        <w:rPr>
          <w:rFonts w:ascii="宋体" w:hAnsi="宋体" w:eastAsia="宋体" w:cs="Times New Roman"/>
          <w:kern w:val="2"/>
          <w:sz w:val="18"/>
          <w:szCs w:val="21"/>
          <w:lang w:val="en-US" w:eastAsia="zh-CN" w:bidi="ar-SA"/>
        </w:rPr>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4" w:name="_Toc15377196"/>
      <w:bookmarkStart w:id="15" w:name="_Toc15396599"/>
    </w:p>
    <w:sdt>
      <w:sdtPr>
        <w:rPr>
          <w:rFonts w:ascii="宋体" w:hAnsi="宋体" w:eastAsia="宋体" w:cs="Times New Roman"/>
          <w:kern w:val="2"/>
          <w:sz w:val="15"/>
          <w:szCs w:val="18"/>
          <w:lang w:val="en-US" w:eastAsia="zh-CN" w:bidi="ar-SA"/>
        </w:rPr>
        <w:id w:val="147470373"/>
        <w15:color w:val="DBDBDB"/>
        <w:docPartObj>
          <w:docPartGallery w:val="Table of Contents"/>
          <w:docPartUnique/>
        </w:docPartObj>
      </w:sdtPr>
      <w:sdtEndPr>
        <w:rPr>
          <w:rFonts w:ascii="Times New Roman" w:hAnsi="Times New Roman"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目录</w:t>
          </w:r>
        </w:p>
        <w:p>
          <w:pPr>
            <w:spacing w:before="0" w:beforeLines="0" w:after="0" w:afterLines="0" w:line="240" w:lineRule="auto"/>
            <w:ind w:left="0" w:leftChars="0" w:right="0" w:rightChars="0" w:firstLine="0" w:firstLineChars="0"/>
            <w:jc w:val="center"/>
            <w:rPr>
              <w:rFonts w:hint="eastAsia" w:ascii="仿宋" w:hAnsi="仿宋" w:eastAsia="仿宋" w:cs="仿宋"/>
              <w:b/>
              <w:sz w:val="21"/>
              <w:szCs w:val="24"/>
            </w:rPr>
          </w:pPr>
          <w:r>
            <w:fldChar w:fldCharType="begin"/>
          </w:r>
          <w:r>
            <w:instrText xml:space="preserve">TOC \o "1-2" \h \u </w:instrText>
          </w:r>
          <w:r>
            <w:fldChar w:fldCharType="separate"/>
          </w:r>
        </w:p>
        <w:p>
          <w:pPr>
            <w:pStyle w:val="42"/>
            <w:tabs>
              <w:tab w:val="right" w:leader="dot" w:pos="8306"/>
            </w:tabs>
            <w:rPr>
              <w:rFonts w:hint="eastAsia" w:ascii="仿宋" w:hAnsi="仿宋" w:eastAsia="仿宋" w:cs="仿宋"/>
              <w:b/>
              <w:sz w:val="28"/>
              <w:szCs w:val="28"/>
            </w:rPr>
          </w:pP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HYPERLINK \l _Toc31437 </w:instrText>
          </w:r>
          <w:r>
            <w:rPr>
              <w:rFonts w:hint="eastAsia" w:ascii="仿宋" w:hAnsi="仿宋" w:eastAsia="仿宋" w:cs="仿宋"/>
              <w:b/>
              <w:sz w:val="28"/>
              <w:szCs w:val="28"/>
            </w:rPr>
            <w:fldChar w:fldCharType="separate"/>
          </w:r>
          <w:r>
            <w:rPr>
              <w:rFonts w:hint="eastAsia" w:ascii="仿宋" w:hAnsi="仿宋" w:eastAsia="仿宋" w:cs="仿宋"/>
              <w:b/>
              <w:sz w:val="28"/>
              <w:szCs w:val="28"/>
              <w:highlight w:val="none"/>
            </w:rPr>
            <w:t xml:space="preserve">第一部分 </w:t>
          </w:r>
          <w:r>
            <w:rPr>
              <w:rFonts w:hint="eastAsia" w:ascii="仿宋" w:hAnsi="仿宋" w:eastAsia="仿宋" w:cs="仿宋"/>
              <w:b/>
              <w:sz w:val="28"/>
              <w:szCs w:val="28"/>
              <w:highlight w:val="none"/>
              <w:lang w:eastAsia="zh-CN"/>
            </w:rPr>
            <w:t>单位</w:t>
          </w:r>
          <w:r>
            <w:rPr>
              <w:rFonts w:hint="eastAsia" w:ascii="仿宋" w:hAnsi="仿宋" w:eastAsia="仿宋" w:cs="仿宋"/>
              <w:b/>
              <w:bCs w:val="0"/>
              <w:sz w:val="28"/>
              <w:szCs w:val="28"/>
              <w:highlight w:val="none"/>
            </w:rPr>
            <w:t>概况</w:t>
          </w:r>
          <w:r>
            <w:rPr>
              <w:rFonts w:hint="eastAsia" w:ascii="仿宋" w:hAnsi="仿宋" w:eastAsia="仿宋" w:cs="仿宋"/>
              <w:b/>
              <w:sz w:val="28"/>
              <w:szCs w:val="28"/>
            </w:rPr>
            <w:tab/>
          </w:r>
          <w:r>
            <w:rPr>
              <w:rFonts w:hint="eastAsia" w:ascii="仿宋" w:hAnsi="仿宋" w:eastAsia="仿宋" w:cs="仿宋"/>
              <w:b/>
              <w:sz w:val="28"/>
              <w:szCs w:val="28"/>
              <w:lang w:val="en-US" w:eastAsia="zh-CN"/>
            </w:rPr>
            <w:t>1</w:t>
          </w:r>
          <w:r>
            <w:rPr>
              <w:rFonts w:hint="eastAsia" w:ascii="仿宋" w:hAnsi="仿宋" w:eastAsia="仿宋" w:cs="仿宋"/>
              <w:b/>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_Toc25501 </w:instrText>
          </w:r>
          <w:r>
            <w:rPr>
              <w:rFonts w:hint="eastAsia" w:ascii="仿宋" w:hAnsi="仿宋" w:eastAsia="仿宋" w:cs="仿宋"/>
              <w:sz w:val="28"/>
              <w:szCs w:val="28"/>
            </w:rPr>
            <w:fldChar w:fldCharType="separate"/>
          </w:r>
          <w:r>
            <w:rPr>
              <w:rFonts w:hint="eastAsia" w:ascii="仿宋" w:hAnsi="仿宋" w:eastAsia="仿宋" w:cs="仿宋"/>
              <w:bCs w:val="0"/>
              <w:sz w:val="28"/>
              <w:szCs w:val="28"/>
              <w:lang w:eastAsia="zh-CN"/>
            </w:rPr>
            <w:t xml:space="preserve">一、 </w:t>
          </w:r>
          <w:r>
            <w:rPr>
              <w:rFonts w:hint="eastAsia" w:ascii="仿宋" w:hAnsi="仿宋" w:eastAsia="仿宋" w:cs="仿宋"/>
              <w:bCs w:val="0"/>
              <w:sz w:val="28"/>
              <w:szCs w:val="28"/>
              <w:highlight w:val="none"/>
            </w:rPr>
            <w:t>职能</w:t>
          </w:r>
          <w:r>
            <w:rPr>
              <w:rFonts w:hint="eastAsia" w:ascii="仿宋" w:hAnsi="仿宋" w:eastAsia="仿宋" w:cs="仿宋"/>
              <w:bCs w:val="0"/>
              <w:sz w:val="28"/>
              <w:szCs w:val="28"/>
              <w:highlight w:val="none"/>
              <w:lang w:eastAsia="zh-CN"/>
            </w:rPr>
            <w:t>简介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_Toc25501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default" w:ascii="仿宋" w:hAnsi="仿宋" w:eastAsia="仿宋" w:cs="仿宋"/>
              <w:sz w:val="28"/>
              <w:szCs w:val="28"/>
              <w:lang w:val="en-US" w:eastAsia="zh-CN"/>
            </w:rPr>
          </w:pPr>
          <w:r>
            <w:rPr>
              <w:rFonts w:hint="eastAsia" w:ascii="仿宋" w:hAnsi="仿宋" w:eastAsia="仿宋" w:cs="仿宋"/>
              <w:sz w:val="28"/>
              <w:szCs w:val="28"/>
              <w:lang w:eastAsia="zh-CN"/>
            </w:rPr>
            <w:t>二、</w:t>
          </w:r>
          <w:r>
            <w:rPr>
              <w:rFonts w:hint="eastAsia" w:ascii="仿宋" w:hAnsi="仿宋" w:eastAsia="仿宋" w:cs="仿宋"/>
              <w:sz w:val="28"/>
              <w:szCs w:val="28"/>
              <w:lang w:val="en-US" w:eastAsia="zh-CN"/>
            </w:rPr>
            <w:t>单位机构设置情况...................................3</w:t>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_Toc21395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lang w:val="en-US" w:eastAsia="zh-CN"/>
            </w:rPr>
            <w:t>三、2021年重点</w:t>
          </w:r>
          <w:r>
            <w:rPr>
              <w:rFonts w:hint="eastAsia" w:ascii="仿宋" w:hAnsi="仿宋" w:eastAsia="仿宋" w:cs="仿宋"/>
              <w:sz w:val="28"/>
              <w:szCs w:val="28"/>
              <w:highlight w:val="none"/>
            </w:rPr>
            <w:t>工作</w:t>
          </w:r>
          <w:r>
            <w:rPr>
              <w:rFonts w:hint="eastAsia" w:ascii="仿宋" w:hAnsi="仿宋" w:eastAsia="仿宋" w:cs="仿宋"/>
              <w:sz w:val="28"/>
              <w:szCs w:val="28"/>
              <w:highlight w:val="none"/>
              <w:lang w:eastAsia="zh-CN"/>
            </w:rPr>
            <w:t>完成情况</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_Toc21395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2"/>
            <w:tabs>
              <w:tab w:val="right" w:leader="dot" w:pos="8306"/>
            </w:tabs>
            <w:rPr>
              <w:rFonts w:hint="eastAsia" w:ascii="仿宋" w:hAnsi="仿宋" w:eastAsia="仿宋" w:cs="仿宋"/>
              <w:b/>
              <w:sz w:val="28"/>
              <w:szCs w:val="28"/>
            </w:rPr>
          </w:pP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HYPERLINK \l _Toc25162 </w:instrText>
          </w:r>
          <w:r>
            <w:rPr>
              <w:rFonts w:hint="eastAsia" w:ascii="仿宋" w:hAnsi="仿宋" w:eastAsia="仿宋" w:cs="仿宋"/>
              <w:b/>
              <w:sz w:val="28"/>
              <w:szCs w:val="28"/>
            </w:rPr>
            <w:fldChar w:fldCharType="separate"/>
          </w:r>
          <w:r>
            <w:rPr>
              <w:rFonts w:hint="eastAsia" w:ascii="仿宋" w:hAnsi="仿宋" w:eastAsia="仿宋" w:cs="仿宋"/>
              <w:b/>
              <w:bCs/>
              <w:sz w:val="28"/>
              <w:szCs w:val="28"/>
              <w:highlight w:val="none"/>
            </w:rPr>
            <w:t xml:space="preserve">第二部分 </w:t>
          </w:r>
          <w:r>
            <w:rPr>
              <w:rFonts w:hint="eastAsia" w:ascii="仿宋" w:hAnsi="仿宋" w:eastAsia="仿宋" w:cs="仿宋"/>
              <w:b/>
              <w:bCs/>
              <w:sz w:val="28"/>
              <w:szCs w:val="28"/>
              <w:highlight w:val="none"/>
              <w:lang w:val="en-US" w:eastAsia="zh-CN"/>
            </w:rPr>
            <w:t>2021年度</w:t>
          </w:r>
          <w:r>
            <w:rPr>
              <w:rFonts w:hint="eastAsia" w:ascii="仿宋" w:hAnsi="仿宋" w:eastAsia="仿宋" w:cs="仿宋"/>
              <w:b/>
              <w:bCs/>
              <w:sz w:val="28"/>
              <w:szCs w:val="28"/>
              <w:highlight w:val="none"/>
              <w:lang w:eastAsia="zh-CN"/>
            </w:rPr>
            <w:t>单位</w:t>
          </w:r>
          <w:r>
            <w:rPr>
              <w:rFonts w:hint="eastAsia" w:ascii="仿宋" w:hAnsi="仿宋" w:eastAsia="仿宋" w:cs="仿宋"/>
              <w:b/>
              <w:bCs/>
              <w:sz w:val="28"/>
              <w:szCs w:val="28"/>
              <w:highlight w:val="none"/>
            </w:rPr>
            <w:t>决算情况说明</w:t>
          </w:r>
          <w:r>
            <w:rPr>
              <w:rFonts w:hint="eastAsia" w:ascii="仿宋" w:hAnsi="仿宋" w:eastAsia="仿宋" w:cs="仿宋"/>
              <w:b/>
              <w:sz w:val="28"/>
              <w:szCs w:val="28"/>
            </w:rPr>
            <w:tab/>
          </w:r>
          <w:r>
            <w:rPr>
              <w:rFonts w:hint="eastAsia" w:ascii="仿宋" w:hAnsi="仿宋" w:eastAsia="仿宋" w:cs="仿宋"/>
              <w:b/>
              <w:sz w:val="28"/>
              <w:szCs w:val="28"/>
              <w:lang w:val="en-US" w:eastAsia="zh-CN"/>
            </w:rPr>
            <w:t>9</w:t>
          </w:r>
          <w:r>
            <w:rPr>
              <w:rFonts w:hint="eastAsia" w:ascii="仿宋" w:hAnsi="仿宋" w:eastAsia="仿宋" w:cs="仿宋"/>
              <w:b/>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_Toc951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一、 </w:t>
          </w:r>
          <w:r>
            <w:rPr>
              <w:rFonts w:hint="eastAsia" w:ascii="仿宋" w:hAnsi="仿宋" w:eastAsia="仿宋" w:cs="仿宋"/>
              <w:sz w:val="28"/>
              <w:szCs w:val="48"/>
              <w:highlight w:val="none"/>
            </w:rPr>
            <w:t>收</w:t>
          </w:r>
          <w:r>
            <w:rPr>
              <w:rFonts w:hint="eastAsia" w:ascii="仿宋" w:hAnsi="仿宋" w:eastAsia="仿宋" w:cs="仿宋"/>
              <w:sz w:val="28"/>
              <w:szCs w:val="28"/>
              <w:highlight w:val="none"/>
            </w:rPr>
            <w:t>入支出决算总体情况说明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_Toc951 \h </w:instrText>
          </w:r>
          <w:r>
            <w:rPr>
              <w:rFonts w:hint="eastAsia" w:ascii="仿宋" w:hAnsi="仿宋" w:eastAsia="仿宋" w:cs="仿宋"/>
              <w:sz w:val="28"/>
              <w:szCs w:val="28"/>
            </w:rPr>
            <w:fldChar w:fldCharType="separate"/>
          </w:r>
          <w:r>
            <w:rPr>
              <w:rFonts w:hint="eastAsia" w:ascii="仿宋" w:hAnsi="仿宋" w:eastAsia="仿宋" w:cs="仿宋"/>
              <w:sz w:val="28"/>
              <w:szCs w:val="28"/>
            </w:rPr>
            <w:t>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_Toc7480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二、 </w:t>
          </w:r>
          <w:r>
            <w:rPr>
              <w:rFonts w:hint="eastAsia" w:ascii="仿宋" w:hAnsi="仿宋" w:eastAsia="仿宋" w:cs="仿宋"/>
              <w:sz w:val="28"/>
              <w:szCs w:val="48"/>
              <w:highlight w:val="none"/>
            </w:rPr>
            <w:t>收</w:t>
          </w:r>
          <w:r>
            <w:rPr>
              <w:rFonts w:hint="eastAsia" w:ascii="仿宋" w:hAnsi="仿宋" w:eastAsia="仿宋" w:cs="仿宋"/>
              <w:sz w:val="28"/>
              <w:szCs w:val="28"/>
              <w:highlight w:val="none"/>
            </w:rPr>
            <w:t>入决算情况说明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_Toc7480 \h </w:instrText>
          </w:r>
          <w:r>
            <w:rPr>
              <w:rFonts w:hint="eastAsia" w:ascii="仿宋" w:hAnsi="仿宋" w:eastAsia="仿宋" w:cs="仿宋"/>
              <w:sz w:val="28"/>
              <w:szCs w:val="28"/>
            </w:rPr>
            <w:fldChar w:fldCharType="separate"/>
          </w:r>
          <w:r>
            <w:rPr>
              <w:rFonts w:hint="eastAsia" w:ascii="仿宋" w:hAnsi="仿宋" w:eastAsia="仿宋" w:cs="仿宋"/>
              <w:sz w:val="28"/>
              <w:szCs w:val="28"/>
            </w:rPr>
            <w:t>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_Toc9606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三、 </w:t>
          </w:r>
          <w:r>
            <w:rPr>
              <w:rFonts w:hint="eastAsia" w:ascii="仿宋" w:hAnsi="仿宋" w:eastAsia="仿宋" w:cs="仿宋"/>
              <w:sz w:val="28"/>
              <w:szCs w:val="48"/>
              <w:highlight w:val="none"/>
            </w:rPr>
            <w:t>支</w:t>
          </w:r>
          <w:r>
            <w:rPr>
              <w:rFonts w:hint="eastAsia" w:ascii="仿宋" w:hAnsi="仿宋" w:eastAsia="仿宋" w:cs="仿宋"/>
              <w:sz w:val="28"/>
              <w:szCs w:val="28"/>
              <w:highlight w:val="none"/>
            </w:rPr>
            <w:t>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_Toc9606 \h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_Toc27116 </w:instrText>
          </w:r>
          <w:r>
            <w:rPr>
              <w:rFonts w:hint="eastAsia" w:ascii="仿宋" w:hAnsi="仿宋" w:eastAsia="仿宋" w:cs="仿宋"/>
              <w:sz w:val="28"/>
              <w:szCs w:val="28"/>
            </w:rPr>
            <w:fldChar w:fldCharType="separate"/>
          </w:r>
          <w:r>
            <w:rPr>
              <w:rFonts w:hint="eastAsia" w:ascii="仿宋" w:hAnsi="仿宋" w:eastAsia="仿宋" w:cs="仿宋"/>
              <w:sz w:val="28"/>
              <w:szCs w:val="48"/>
              <w:highlight w:val="none"/>
            </w:rPr>
            <w:t>四、财</w:t>
          </w:r>
          <w:r>
            <w:rPr>
              <w:rFonts w:hint="eastAsia" w:ascii="仿宋" w:hAnsi="仿宋" w:eastAsia="仿宋" w:cs="仿宋"/>
              <w:sz w:val="28"/>
              <w:szCs w:val="28"/>
              <w:highlight w:val="none"/>
            </w:rPr>
            <w:t>政拨款收入支出决算总体情况说明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_Toc27116 \h </w:instrText>
          </w:r>
          <w:r>
            <w:rPr>
              <w:rFonts w:hint="eastAsia" w:ascii="仿宋" w:hAnsi="仿宋" w:eastAsia="仿宋" w:cs="仿宋"/>
              <w:sz w:val="28"/>
              <w:szCs w:val="28"/>
            </w:rPr>
            <w:fldChar w:fldCharType="separate"/>
          </w:r>
          <w:r>
            <w:rPr>
              <w:rFonts w:hint="eastAsia" w:ascii="仿宋" w:hAnsi="仿宋" w:eastAsia="仿宋" w:cs="仿宋"/>
              <w:sz w:val="28"/>
              <w:szCs w:val="28"/>
            </w:rPr>
            <w:t>11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_Toc26155 </w:instrText>
          </w:r>
          <w:r>
            <w:rPr>
              <w:rFonts w:hint="eastAsia" w:ascii="仿宋" w:hAnsi="仿宋" w:eastAsia="仿宋" w:cs="仿宋"/>
              <w:sz w:val="28"/>
              <w:szCs w:val="28"/>
            </w:rPr>
            <w:fldChar w:fldCharType="separate"/>
          </w:r>
          <w:r>
            <w:rPr>
              <w:rFonts w:hint="eastAsia" w:ascii="仿宋" w:hAnsi="仿宋" w:eastAsia="仿宋" w:cs="仿宋"/>
              <w:sz w:val="28"/>
              <w:szCs w:val="48"/>
              <w:highlight w:val="none"/>
            </w:rPr>
            <w:t>五、一</w:t>
          </w:r>
          <w:r>
            <w:rPr>
              <w:rFonts w:hint="eastAsia" w:ascii="仿宋" w:hAnsi="仿宋" w:eastAsia="仿宋" w:cs="仿宋"/>
              <w:sz w:val="28"/>
              <w:szCs w:val="28"/>
              <w:highlight w:val="none"/>
            </w:rPr>
            <w:t>般公共预算财政拨款支出决算情况说明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_Toc26155 \h </w:instrText>
          </w:r>
          <w:r>
            <w:rPr>
              <w:rFonts w:hint="eastAsia" w:ascii="仿宋" w:hAnsi="仿宋" w:eastAsia="仿宋" w:cs="仿宋"/>
              <w:sz w:val="28"/>
              <w:szCs w:val="28"/>
            </w:rPr>
            <w:fldChar w:fldCharType="separate"/>
          </w:r>
          <w:r>
            <w:rPr>
              <w:rFonts w:hint="eastAsia" w:ascii="仿宋" w:hAnsi="仿宋" w:eastAsia="仿宋" w:cs="仿宋"/>
              <w:sz w:val="28"/>
              <w:szCs w:val="28"/>
            </w:rPr>
            <w:t>12</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_Toc4398 </w:instrText>
          </w:r>
          <w:r>
            <w:rPr>
              <w:rFonts w:hint="eastAsia" w:ascii="仿宋" w:hAnsi="仿宋" w:eastAsia="仿宋" w:cs="仿宋"/>
              <w:sz w:val="28"/>
              <w:szCs w:val="28"/>
            </w:rPr>
            <w:fldChar w:fldCharType="separate"/>
          </w:r>
          <w:r>
            <w:rPr>
              <w:rFonts w:hint="eastAsia" w:ascii="仿宋" w:hAnsi="仿宋" w:eastAsia="仿宋" w:cs="仿宋"/>
              <w:sz w:val="28"/>
              <w:szCs w:val="48"/>
              <w:highlight w:val="none"/>
            </w:rPr>
            <w:t>六、一</w:t>
          </w:r>
          <w:r>
            <w:rPr>
              <w:rFonts w:hint="eastAsia" w:ascii="仿宋" w:hAnsi="仿宋" w:eastAsia="仿宋" w:cs="仿宋"/>
              <w:sz w:val="28"/>
              <w:szCs w:val="28"/>
              <w:highlight w:val="none"/>
            </w:rPr>
            <w:t>般公共预算财政拨款基本支出决算情况说明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_Toc4398 \h </w:instrText>
          </w:r>
          <w:r>
            <w:rPr>
              <w:rFonts w:hint="eastAsia" w:ascii="仿宋" w:hAnsi="仿宋" w:eastAsia="仿宋" w:cs="仿宋"/>
              <w:sz w:val="28"/>
              <w:szCs w:val="28"/>
            </w:rPr>
            <w:fldChar w:fldCharType="separate"/>
          </w:r>
          <w:r>
            <w:rPr>
              <w:rFonts w:hint="eastAsia" w:ascii="仿宋" w:hAnsi="仿宋" w:eastAsia="仿宋" w:cs="仿宋"/>
              <w:sz w:val="28"/>
              <w:szCs w:val="28"/>
            </w:rPr>
            <w:t>15</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_Toc6487 </w:instrText>
          </w:r>
          <w:r>
            <w:rPr>
              <w:rFonts w:hint="eastAsia" w:ascii="仿宋" w:hAnsi="仿宋" w:eastAsia="仿宋" w:cs="仿宋"/>
              <w:sz w:val="28"/>
              <w:szCs w:val="28"/>
            </w:rPr>
            <w:fldChar w:fldCharType="separate"/>
          </w:r>
          <w:r>
            <w:rPr>
              <w:rFonts w:hint="eastAsia" w:ascii="仿宋" w:hAnsi="仿宋" w:eastAsia="仿宋" w:cs="仿宋"/>
              <w:sz w:val="28"/>
              <w:szCs w:val="48"/>
              <w:highlight w:val="none"/>
            </w:rPr>
            <w:t>七、</w:t>
          </w:r>
          <w:r>
            <w:rPr>
              <w:rFonts w:hint="eastAsia" w:ascii="仿宋" w:hAnsi="仿宋" w:eastAsia="仿宋" w:cs="仿宋"/>
              <w:sz w:val="28"/>
              <w:szCs w:val="28"/>
              <w:highlight w:val="none"/>
            </w:rPr>
            <w:t>“三公”经费财政拨款支出决算情况说明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_Toc6487 \h </w:instrText>
          </w:r>
          <w:r>
            <w:rPr>
              <w:rFonts w:hint="eastAsia" w:ascii="仿宋" w:hAnsi="仿宋" w:eastAsia="仿宋" w:cs="仿宋"/>
              <w:sz w:val="28"/>
              <w:szCs w:val="28"/>
            </w:rPr>
            <w:fldChar w:fldCharType="separate"/>
          </w:r>
          <w:r>
            <w:rPr>
              <w:rFonts w:hint="eastAsia" w:ascii="仿宋" w:hAnsi="仿宋" w:eastAsia="仿宋" w:cs="仿宋"/>
              <w:sz w:val="28"/>
              <w:szCs w:val="28"/>
            </w:rPr>
            <w:t>16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_Toc27637 </w:instrText>
          </w:r>
          <w:r>
            <w:rPr>
              <w:rFonts w:hint="eastAsia" w:ascii="仿宋" w:hAnsi="仿宋" w:eastAsia="仿宋" w:cs="仿宋"/>
              <w:sz w:val="28"/>
              <w:szCs w:val="28"/>
            </w:rPr>
            <w:fldChar w:fldCharType="separate"/>
          </w:r>
          <w:r>
            <w:rPr>
              <w:rFonts w:hint="eastAsia" w:ascii="仿宋" w:hAnsi="仿宋" w:eastAsia="仿宋" w:cs="仿宋"/>
              <w:sz w:val="28"/>
              <w:szCs w:val="48"/>
              <w:highlight w:val="none"/>
            </w:rPr>
            <w:t>八、</w:t>
          </w:r>
          <w:r>
            <w:rPr>
              <w:rFonts w:hint="eastAsia" w:ascii="仿宋" w:hAnsi="仿宋" w:eastAsia="仿宋" w:cs="仿宋"/>
              <w:sz w:val="28"/>
              <w:szCs w:val="28"/>
              <w:highlight w:val="none"/>
            </w:rPr>
            <w:t>政府性基金预算支出决算情况说明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_Toc27637 \h </w:instrText>
          </w:r>
          <w:r>
            <w:rPr>
              <w:rFonts w:hint="eastAsia" w:ascii="仿宋" w:hAnsi="仿宋" w:eastAsia="仿宋" w:cs="仿宋"/>
              <w:sz w:val="28"/>
              <w:szCs w:val="28"/>
            </w:rPr>
            <w:fldChar w:fldCharType="separate"/>
          </w:r>
          <w:r>
            <w:rPr>
              <w:rFonts w:hint="eastAsia" w:ascii="仿宋" w:hAnsi="仿宋" w:eastAsia="仿宋" w:cs="仿宋"/>
              <w:sz w:val="28"/>
              <w:szCs w:val="28"/>
            </w:rPr>
            <w:t>18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_Toc24250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九、 </w:t>
          </w:r>
          <w:r>
            <w:rPr>
              <w:rFonts w:hint="eastAsia" w:ascii="仿宋" w:hAnsi="仿宋" w:eastAsia="仿宋" w:cs="仿宋"/>
              <w:sz w:val="28"/>
              <w:szCs w:val="28"/>
              <w:highlight w:val="none"/>
            </w:rPr>
            <w:t>国有资本经营预算支出决算情况说明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_Toc24250 \h </w:instrText>
          </w:r>
          <w:r>
            <w:rPr>
              <w:rFonts w:hint="eastAsia" w:ascii="仿宋" w:hAnsi="仿宋" w:eastAsia="仿宋" w:cs="仿宋"/>
              <w:sz w:val="28"/>
              <w:szCs w:val="28"/>
            </w:rPr>
            <w:fldChar w:fldCharType="separate"/>
          </w:r>
          <w:r>
            <w:rPr>
              <w:rFonts w:hint="eastAsia" w:ascii="仿宋" w:hAnsi="仿宋" w:eastAsia="仿宋" w:cs="仿宋"/>
              <w:sz w:val="28"/>
              <w:szCs w:val="28"/>
            </w:rPr>
            <w:t>18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_Toc695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十、 </w:t>
          </w:r>
          <w:r>
            <w:rPr>
              <w:rFonts w:hint="eastAsia" w:ascii="仿宋" w:hAnsi="仿宋" w:eastAsia="仿宋" w:cs="仿宋"/>
              <w:sz w:val="28"/>
              <w:szCs w:val="28"/>
              <w:highlight w:val="none"/>
            </w:rPr>
            <w:t>其他重要事项的情况说明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_Toc695 \h </w:instrText>
          </w:r>
          <w:r>
            <w:rPr>
              <w:rFonts w:hint="eastAsia" w:ascii="仿宋" w:hAnsi="仿宋" w:eastAsia="仿宋" w:cs="仿宋"/>
              <w:sz w:val="28"/>
              <w:szCs w:val="28"/>
            </w:rPr>
            <w:fldChar w:fldCharType="separate"/>
          </w:r>
          <w:r>
            <w:rPr>
              <w:rFonts w:hint="eastAsia" w:ascii="仿宋" w:hAnsi="仿宋" w:eastAsia="仿宋" w:cs="仿宋"/>
              <w:sz w:val="28"/>
              <w:szCs w:val="28"/>
            </w:rPr>
            <w:t>18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2"/>
            <w:tabs>
              <w:tab w:val="right" w:leader="dot" w:pos="8306"/>
            </w:tabs>
            <w:rPr>
              <w:rFonts w:hint="eastAsia" w:ascii="仿宋" w:hAnsi="仿宋" w:eastAsia="仿宋" w:cs="仿宋"/>
              <w:b/>
              <w:sz w:val="28"/>
              <w:szCs w:val="28"/>
            </w:rPr>
          </w:pP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HYPERLINK \l _Toc11596 </w:instrText>
          </w:r>
          <w:r>
            <w:rPr>
              <w:rFonts w:hint="eastAsia" w:ascii="仿宋" w:hAnsi="仿宋" w:eastAsia="仿宋" w:cs="仿宋"/>
              <w:b/>
              <w:sz w:val="28"/>
              <w:szCs w:val="28"/>
            </w:rPr>
            <w:fldChar w:fldCharType="separate"/>
          </w:r>
          <w:r>
            <w:rPr>
              <w:rFonts w:hint="eastAsia" w:ascii="仿宋" w:hAnsi="仿宋" w:eastAsia="仿宋" w:cs="仿宋"/>
              <w:b/>
              <w:sz w:val="28"/>
              <w:szCs w:val="72"/>
            </w:rPr>
            <w:t xml:space="preserve">第三部分 </w:t>
          </w:r>
          <w:r>
            <w:rPr>
              <w:rFonts w:hint="eastAsia" w:ascii="仿宋" w:hAnsi="仿宋" w:eastAsia="仿宋" w:cs="仿宋"/>
              <w:b/>
              <w:sz w:val="28"/>
              <w:szCs w:val="72"/>
              <w:highlight w:val="none"/>
            </w:rPr>
            <w:t>名</w:t>
          </w:r>
          <w:r>
            <w:rPr>
              <w:rFonts w:hint="eastAsia" w:ascii="仿宋" w:hAnsi="仿宋" w:eastAsia="仿宋" w:cs="仿宋"/>
              <w:b/>
              <w:sz w:val="28"/>
              <w:szCs w:val="28"/>
              <w:highlight w:val="none"/>
            </w:rPr>
            <w:t>词解释</w:t>
          </w:r>
          <w:r>
            <w:rPr>
              <w:rFonts w:hint="eastAsia" w:ascii="仿宋" w:hAnsi="仿宋" w:eastAsia="仿宋" w:cs="仿宋"/>
              <w:b/>
              <w:sz w:val="28"/>
              <w:szCs w:val="28"/>
            </w:rPr>
            <w:tab/>
          </w: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PAGEREF _Toc11596 \h </w:instrText>
          </w:r>
          <w:r>
            <w:rPr>
              <w:rFonts w:hint="eastAsia" w:ascii="仿宋" w:hAnsi="仿宋" w:eastAsia="仿宋" w:cs="仿宋"/>
              <w:b/>
              <w:sz w:val="28"/>
              <w:szCs w:val="28"/>
            </w:rPr>
            <w:fldChar w:fldCharType="separate"/>
          </w:r>
          <w:r>
            <w:rPr>
              <w:rFonts w:hint="eastAsia" w:ascii="仿宋" w:hAnsi="仿宋" w:eastAsia="仿宋" w:cs="仿宋"/>
              <w:b/>
              <w:sz w:val="28"/>
              <w:szCs w:val="28"/>
            </w:rPr>
            <w:t>20</w:t>
          </w:r>
          <w:r>
            <w:rPr>
              <w:rFonts w:hint="eastAsia" w:ascii="仿宋" w:hAnsi="仿宋" w:eastAsia="仿宋" w:cs="仿宋"/>
              <w:b/>
              <w:sz w:val="28"/>
              <w:szCs w:val="28"/>
            </w:rPr>
            <w:fldChar w:fldCharType="end"/>
          </w:r>
          <w:r>
            <w:rPr>
              <w:rFonts w:hint="eastAsia" w:ascii="仿宋" w:hAnsi="仿宋" w:eastAsia="仿宋" w:cs="仿宋"/>
              <w:b/>
              <w:sz w:val="28"/>
              <w:szCs w:val="28"/>
            </w:rPr>
            <w:fldChar w:fldCharType="end"/>
          </w:r>
        </w:p>
        <w:p>
          <w:pPr>
            <w:pStyle w:val="42"/>
            <w:tabs>
              <w:tab w:val="right" w:leader="dot" w:pos="8306"/>
            </w:tabs>
            <w:rPr>
              <w:rFonts w:hint="eastAsia" w:ascii="仿宋" w:hAnsi="仿宋" w:eastAsia="仿宋" w:cs="仿宋"/>
              <w:b/>
              <w:sz w:val="28"/>
              <w:szCs w:val="28"/>
            </w:rPr>
          </w:pP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HYPERLINK \l _Toc1947 </w:instrText>
          </w:r>
          <w:r>
            <w:rPr>
              <w:rFonts w:hint="eastAsia" w:ascii="仿宋" w:hAnsi="仿宋" w:eastAsia="仿宋" w:cs="仿宋"/>
              <w:b/>
              <w:sz w:val="28"/>
              <w:szCs w:val="28"/>
            </w:rPr>
            <w:fldChar w:fldCharType="separate"/>
          </w:r>
          <w:r>
            <w:rPr>
              <w:rFonts w:hint="eastAsia" w:ascii="仿宋" w:hAnsi="仿宋" w:eastAsia="仿宋" w:cs="仿宋"/>
              <w:b/>
              <w:sz w:val="28"/>
              <w:szCs w:val="72"/>
              <w:highlight w:val="none"/>
            </w:rPr>
            <w:t>第</w:t>
          </w:r>
          <w:r>
            <w:rPr>
              <w:rFonts w:hint="eastAsia" w:ascii="仿宋" w:hAnsi="仿宋" w:eastAsia="仿宋" w:cs="仿宋"/>
              <w:b/>
              <w:sz w:val="28"/>
              <w:szCs w:val="28"/>
              <w:highlight w:val="none"/>
            </w:rPr>
            <w:t>四部分 附件</w:t>
          </w:r>
          <w:r>
            <w:rPr>
              <w:rFonts w:hint="eastAsia" w:ascii="仿宋" w:hAnsi="仿宋" w:eastAsia="仿宋" w:cs="仿宋"/>
              <w:b/>
              <w:sz w:val="28"/>
              <w:szCs w:val="28"/>
            </w:rPr>
            <w:tab/>
          </w: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PAGEREF _Toc1947 \h </w:instrText>
          </w:r>
          <w:r>
            <w:rPr>
              <w:rFonts w:hint="eastAsia" w:ascii="仿宋" w:hAnsi="仿宋" w:eastAsia="仿宋" w:cs="仿宋"/>
              <w:b/>
              <w:sz w:val="28"/>
              <w:szCs w:val="28"/>
            </w:rPr>
            <w:fldChar w:fldCharType="separate"/>
          </w:r>
          <w:r>
            <w:rPr>
              <w:rFonts w:hint="eastAsia" w:ascii="仿宋" w:hAnsi="仿宋" w:eastAsia="仿宋" w:cs="仿宋"/>
              <w:b/>
              <w:sz w:val="28"/>
              <w:szCs w:val="28"/>
            </w:rPr>
            <w:t>27</w:t>
          </w:r>
          <w:r>
            <w:rPr>
              <w:rFonts w:hint="eastAsia" w:ascii="仿宋" w:hAnsi="仿宋" w:eastAsia="仿宋" w:cs="仿宋"/>
              <w:b/>
              <w:sz w:val="28"/>
              <w:szCs w:val="28"/>
            </w:rPr>
            <w:fldChar w:fldCharType="end"/>
          </w:r>
          <w:r>
            <w:rPr>
              <w:rFonts w:hint="eastAsia" w:ascii="仿宋" w:hAnsi="仿宋" w:eastAsia="仿宋" w:cs="仿宋"/>
              <w:b/>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_Toc20856 </w:instrText>
          </w:r>
          <w:r>
            <w:rPr>
              <w:rFonts w:hint="eastAsia" w:ascii="仿宋" w:hAnsi="仿宋" w:eastAsia="仿宋" w:cs="仿宋"/>
              <w:sz w:val="28"/>
              <w:szCs w:val="28"/>
            </w:rPr>
            <w:fldChar w:fldCharType="separate"/>
          </w:r>
          <w:r>
            <w:rPr>
              <w:rFonts w:hint="eastAsia" w:ascii="仿宋" w:hAnsi="仿宋" w:eastAsia="仿宋" w:cs="仿宋"/>
              <w:sz w:val="28"/>
              <w:szCs w:val="48"/>
              <w:highlight w:val="none"/>
            </w:rPr>
            <w:t>附件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_Toc20856 \h </w:instrText>
          </w:r>
          <w:r>
            <w:rPr>
              <w:rFonts w:hint="eastAsia" w:ascii="仿宋" w:hAnsi="仿宋" w:eastAsia="仿宋" w:cs="仿宋"/>
              <w:sz w:val="28"/>
              <w:szCs w:val="28"/>
            </w:rPr>
            <w:fldChar w:fldCharType="separate"/>
          </w:r>
          <w:r>
            <w:rPr>
              <w:rFonts w:hint="eastAsia" w:ascii="仿宋" w:hAnsi="仿宋" w:eastAsia="仿宋" w:cs="仿宋"/>
              <w:sz w:val="28"/>
              <w:szCs w:val="28"/>
            </w:rPr>
            <w:t>27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2"/>
            <w:tabs>
              <w:tab w:val="right" w:leader="dot" w:pos="8306"/>
            </w:tabs>
            <w:rPr>
              <w:rFonts w:hint="eastAsia" w:ascii="仿宋" w:hAnsi="仿宋" w:eastAsia="仿宋" w:cs="仿宋"/>
              <w:b/>
              <w:sz w:val="28"/>
              <w:szCs w:val="28"/>
            </w:rPr>
          </w:pP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HYPERLINK \l _Toc29878 </w:instrText>
          </w:r>
          <w:r>
            <w:rPr>
              <w:rFonts w:hint="eastAsia" w:ascii="仿宋" w:hAnsi="仿宋" w:eastAsia="仿宋" w:cs="仿宋"/>
              <w:b/>
              <w:sz w:val="28"/>
              <w:szCs w:val="28"/>
            </w:rPr>
            <w:fldChar w:fldCharType="separate"/>
          </w:r>
          <w:r>
            <w:rPr>
              <w:rFonts w:hint="eastAsia" w:ascii="仿宋" w:hAnsi="仿宋" w:eastAsia="仿宋" w:cs="仿宋"/>
              <w:b/>
              <w:sz w:val="28"/>
              <w:szCs w:val="72"/>
              <w:highlight w:val="none"/>
            </w:rPr>
            <w:t>第</w:t>
          </w:r>
          <w:r>
            <w:rPr>
              <w:rFonts w:hint="eastAsia" w:ascii="仿宋" w:hAnsi="仿宋" w:eastAsia="仿宋" w:cs="仿宋"/>
              <w:b/>
              <w:sz w:val="28"/>
              <w:szCs w:val="28"/>
              <w:highlight w:val="none"/>
            </w:rPr>
            <w:t>五部分 附表</w:t>
          </w:r>
          <w:r>
            <w:rPr>
              <w:rFonts w:hint="eastAsia" w:ascii="仿宋" w:hAnsi="仿宋" w:eastAsia="仿宋" w:cs="仿宋"/>
              <w:b/>
              <w:sz w:val="28"/>
              <w:szCs w:val="28"/>
            </w:rPr>
            <w:tab/>
          </w:r>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PAGEREF _Toc29878 \h </w:instrText>
          </w:r>
          <w:r>
            <w:rPr>
              <w:rFonts w:hint="eastAsia" w:ascii="仿宋" w:hAnsi="仿宋" w:eastAsia="仿宋" w:cs="仿宋"/>
              <w:b/>
              <w:sz w:val="28"/>
              <w:szCs w:val="28"/>
            </w:rPr>
            <w:fldChar w:fldCharType="separate"/>
          </w:r>
          <w:r>
            <w:rPr>
              <w:rFonts w:hint="eastAsia" w:ascii="仿宋" w:hAnsi="仿宋" w:eastAsia="仿宋" w:cs="仿宋"/>
              <w:b/>
              <w:sz w:val="28"/>
              <w:szCs w:val="28"/>
            </w:rPr>
            <w:t>29</w:t>
          </w:r>
          <w:r>
            <w:rPr>
              <w:rFonts w:hint="eastAsia" w:ascii="仿宋" w:hAnsi="仿宋" w:eastAsia="仿宋" w:cs="仿宋"/>
              <w:b/>
              <w:sz w:val="28"/>
              <w:szCs w:val="28"/>
            </w:rPr>
            <w:fldChar w:fldCharType="end"/>
          </w:r>
          <w:r>
            <w:rPr>
              <w:rFonts w:hint="eastAsia" w:ascii="仿宋" w:hAnsi="仿宋" w:eastAsia="仿宋" w:cs="仿宋"/>
              <w:b/>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_Toc9966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一、收</w:t>
          </w:r>
          <w:r>
            <w:rPr>
              <w:rFonts w:hint="eastAsia" w:ascii="仿宋" w:hAnsi="仿宋" w:eastAsia="仿宋" w:cs="仿宋"/>
              <w:bCs w:val="0"/>
              <w:sz w:val="28"/>
              <w:szCs w:val="28"/>
              <w:highlight w:val="none"/>
            </w:rPr>
            <w:t>入支出决算总表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_Toc9966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_Toc8480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二、收</w:t>
          </w:r>
          <w:r>
            <w:rPr>
              <w:rFonts w:hint="eastAsia" w:ascii="仿宋" w:hAnsi="仿宋" w:eastAsia="仿宋" w:cs="仿宋"/>
              <w:bCs w:val="0"/>
              <w:sz w:val="28"/>
              <w:szCs w:val="28"/>
              <w:highlight w:val="none"/>
            </w:rPr>
            <w:t>入决算表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_Toc8480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_Toc4584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三、</w:t>
          </w:r>
          <w:r>
            <w:rPr>
              <w:rFonts w:hint="eastAsia" w:ascii="仿宋" w:hAnsi="仿宋" w:eastAsia="仿宋" w:cs="仿宋"/>
              <w:sz w:val="28"/>
              <w:szCs w:val="28"/>
              <w:highlight w:val="none"/>
            </w:rPr>
            <w:t>支</w:t>
          </w:r>
          <w:r>
            <w:rPr>
              <w:rFonts w:hint="eastAsia" w:ascii="仿宋" w:hAnsi="仿宋" w:eastAsia="仿宋" w:cs="仿宋"/>
              <w:bCs w:val="0"/>
              <w:sz w:val="28"/>
              <w:szCs w:val="28"/>
              <w:highlight w:val="none"/>
            </w:rPr>
            <w:t>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_Toc4584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_Toc11178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四、</w:t>
          </w:r>
          <w:r>
            <w:rPr>
              <w:rFonts w:hint="eastAsia" w:ascii="仿宋" w:hAnsi="仿宋" w:eastAsia="仿宋" w:cs="仿宋"/>
              <w:sz w:val="28"/>
              <w:szCs w:val="28"/>
              <w:highlight w:val="none"/>
            </w:rPr>
            <w:t>财</w:t>
          </w:r>
          <w:r>
            <w:rPr>
              <w:rFonts w:hint="eastAsia" w:ascii="仿宋" w:hAnsi="仿宋" w:eastAsia="仿宋" w:cs="仿宋"/>
              <w:bCs w:val="0"/>
              <w:sz w:val="28"/>
              <w:szCs w:val="28"/>
              <w:highlight w:val="none"/>
            </w:rPr>
            <w:t>政拨款收入支出决算总表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_Toc11178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_Toc15237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五、</w:t>
          </w:r>
          <w:r>
            <w:rPr>
              <w:rFonts w:hint="eastAsia" w:ascii="仿宋" w:hAnsi="仿宋" w:eastAsia="仿宋" w:cs="仿宋"/>
              <w:sz w:val="28"/>
              <w:szCs w:val="28"/>
              <w:highlight w:val="none"/>
            </w:rPr>
            <w:t>财</w:t>
          </w:r>
          <w:r>
            <w:rPr>
              <w:rFonts w:hint="eastAsia" w:ascii="仿宋" w:hAnsi="仿宋" w:eastAsia="仿宋" w:cs="仿宋"/>
              <w:bCs w:val="0"/>
              <w:sz w:val="28"/>
              <w:szCs w:val="28"/>
              <w:highlight w:val="none"/>
            </w:rPr>
            <w:t>政拨款支出决算明细表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_Toc15237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_Toc20539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六、</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_Toc20539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_Toc29239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七、</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般公共预算财政拨款支出决算明细表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_Toc29239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_Toc9500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八、</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般公共预算财政拨款基本支出决算表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_Toc9500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_Toc22093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九、</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般公共预算财政拨款项目支出决算表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_Toc22093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_Toc26568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十、</w:t>
          </w:r>
          <w:r>
            <w:rPr>
              <w:rFonts w:hint="eastAsia" w:ascii="仿宋" w:hAnsi="仿宋" w:eastAsia="仿宋" w:cs="仿宋"/>
              <w:sz w:val="28"/>
              <w:szCs w:val="28"/>
              <w:highlight w:val="none"/>
            </w:rPr>
            <w:t>一</w:t>
          </w:r>
          <w:r>
            <w:rPr>
              <w:rFonts w:hint="eastAsia" w:ascii="仿宋" w:hAnsi="仿宋" w:eastAsia="仿宋" w:cs="仿宋"/>
              <w:bCs w:val="0"/>
              <w:sz w:val="28"/>
              <w:szCs w:val="28"/>
              <w:highlight w:val="none"/>
            </w:rPr>
            <w:t>般公共预算财政拨款“三公”经费支出决算表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_Toc26568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_Toc31777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十一、</w:t>
          </w:r>
          <w:r>
            <w:rPr>
              <w:rFonts w:hint="eastAsia" w:ascii="仿宋" w:hAnsi="仿宋" w:eastAsia="仿宋" w:cs="仿宋"/>
              <w:sz w:val="28"/>
              <w:szCs w:val="28"/>
              <w:highlight w:val="none"/>
            </w:rPr>
            <w:t>政</w:t>
          </w:r>
          <w:r>
            <w:rPr>
              <w:rFonts w:hint="eastAsia" w:ascii="仿宋" w:hAnsi="仿宋" w:eastAsia="仿宋" w:cs="仿宋"/>
              <w:bCs w:val="0"/>
              <w:sz w:val="28"/>
              <w:szCs w:val="28"/>
              <w:highlight w:val="none"/>
            </w:rPr>
            <w:t>府性基金预算财政拨款收入支出决算表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_Toc31777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_Toc31979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十二、</w:t>
          </w:r>
          <w:r>
            <w:rPr>
              <w:rFonts w:hint="eastAsia" w:ascii="仿宋" w:hAnsi="仿宋" w:eastAsia="仿宋" w:cs="仿宋"/>
              <w:sz w:val="28"/>
              <w:szCs w:val="28"/>
              <w:highlight w:val="none"/>
            </w:rPr>
            <w:t>政</w:t>
          </w:r>
          <w:r>
            <w:rPr>
              <w:rFonts w:hint="eastAsia" w:ascii="仿宋" w:hAnsi="仿宋" w:eastAsia="仿宋" w:cs="仿宋"/>
              <w:bCs w:val="0"/>
              <w:sz w:val="28"/>
              <w:szCs w:val="28"/>
              <w:highlight w:val="none"/>
            </w:rPr>
            <w:t>府性基金预算财政拨款“三公”经费支出决算表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_Toc31979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_Toc14458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十三、</w:t>
          </w:r>
          <w:r>
            <w:rPr>
              <w:rFonts w:hint="eastAsia" w:ascii="仿宋" w:hAnsi="仿宋" w:eastAsia="仿宋" w:cs="仿宋"/>
              <w:sz w:val="28"/>
              <w:szCs w:val="28"/>
              <w:highlight w:val="none"/>
            </w:rPr>
            <w:t>国</w:t>
          </w:r>
          <w:r>
            <w:rPr>
              <w:rFonts w:hint="eastAsia" w:ascii="仿宋" w:hAnsi="仿宋" w:eastAsia="仿宋" w:cs="仿宋"/>
              <w:bCs w:val="0"/>
              <w:sz w:val="28"/>
              <w:szCs w:val="28"/>
              <w:highlight w:val="none"/>
            </w:rPr>
            <w:t>有资本经营预算</w:t>
          </w:r>
          <w:r>
            <w:rPr>
              <w:rFonts w:hint="eastAsia" w:ascii="仿宋" w:hAnsi="仿宋" w:eastAsia="仿宋" w:cs="仿宋"/>
              <w:bCs w:val="0"/>
              <w:sz w:val="28"/>
              <w:szCs w:val="28"/>
              <w:highlight w:val="none"/>
              <w:lang w:eastAsia="zh-CN"/>
            </w:rPr>
            <w:t>财政拨款收入</w:t>
          </w:r>
          <w:r>
            <w:rPr>
              <w:rFonts w:hint="eastAsia" w:ascii="仿宋" w:hAnsi="仿宋" w:eastAsia="仿宋" w:cs="仿宋"/>
              <w:bCs w:val="0"/>
              <w:sz w:val="28"/>
              <w:szCs w:val="28"/>
              <w:highlight w:val="none"/>
            </w:rPr>
            <w:t>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_Toc14458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3"/>
            <w:tabs>
              <w:tab w:val="right" w:leader="dot" w:pos="8306"/>
            </w:tabs>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_Toc9661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lang w:eastAsia="zh-CN"/>
            </w:rPr>
            <w:t>十四、国有资本经营预算财政拨款支出决算表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_Toc9661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rPr>
              <w:rFonts w:hint="eastAsia" w:ascii="黑体" w:hAnsi="黑体" w:eastAsia="黑体"/>
              <w:b w:val="0"/>
              <w:color w:val="auto"/>
              <w:highlight w:val="none"/>
            </w:rPr>
            <w:sectPr>
              <w:footerReference r:id="rId7" w:type="first"/>
              <w:footerReference r:id="rId6" w:type="default"/>
              <w:pgSz w:w="11906" w:h="16838"/>
              <w:pgMar w:top="1440" w:right="1800" w:bottom="1440" w:left="1800" w:header="851" w:footer="992" w:gutter="0"/>
              <w:pgNumType w:start="1"/>
              <w:cols w:space="425" w:num="1"/>
              <w:titlePg/>
              <w:docGrid w:type="lines" w:linePitch="312" w:charSpace="0"/>
            </w:sectPr>
          </w:pPr>
          <w:r>
            <w:rPr>
              <w:b/>
            </w:rPr>
            <w:fldChar w:fldCharType="end"/>
          </w:r>
          <w:bookmarkStart w:id="16" w:name="_Toc31437"/>
        </w:p>
      </w:sdtContent>
    </w:sdt>
    <w:p>
      <w:pPr>
        <w:pStyle w:val="2"/>
        <w:jc w:val="center"/>
        <w:rPr>
          <w:rFonts w:ascii="黑体" w:eastAsia="黑体"/>
          <w:color w:val="auto"/>
          <w:sz w:val="32"/>
          <w:szCs w:val="32"/>
          <w:highlight w:val="none"/>
        </w:rPr>
      </w:pPr>
      <w:r>
        <w:rPr>
          <w:rFonts w:hint="eastAsia" w:ascii="黑体" w:hAnsi="黑体" w:eastAsia="黑体"/>
          <w:b w:val="0"/>
          <w:color w:val="auto"/>
          <w:highlight w:val="none"/>
        </w:rPr>
        <w:t xml:space="preserve">第一部分 </w:t>
      </w:r>
      <w:r>
        <w:rPr>
          <w:rFonts w:hint="eastAsia" w:ascii="黑体" w:hAnsi="黑体" w:eastAsia="黑体"/>
          <w:b w:val="0"/>
          <w:color w:val="auto"/>
          <w:highlight w:val="none"/>
          <w:lang w:eastAsia="zh-CN"/>
        </w:rPr>
        <w:t>单位</w:t>
      </w:r>
      <w:r>
        <w:rPr>
          <w:rStyle w:val="36"/>
          <w:rFonts w:hint="eastAsia" w:ascii="黑体" w:hAnsi="黑体" w:eastAsia="黑体"/>
          <w:b w:val="0"/>
          <w:bCs w:val="0"/>
          <w:color w:val="auto"/>
          <w:highlight w:val="none"/>
        </w:rPr>
        <w:t>概况</w:t>
      </w:r>
      <w:bookmarkEnd w:id="14"/>
      <w:bookmarkEnd w:id="15"/>
      <w:bookmarkEnd w:id="16"/>
    </w:p>
    <w:p>
      <w:pPr>
        <w:pStyle w:val="3"/>
        <w:numPr>
          <w:ilvl w:val="0"/>
          <w:numId w:val="2"/>
        </w:numPr>
        <w:rPr>
          <w:rStyle w:val="37"/>
          <w:rFonts w:hint="eastAsia" w:ascii="黑体" w:hAnsi="黑体" w:eastAsia="黑体"/>
          <w:b w:val="0"/>
          <w:bCs w:val="0"/>
          <w:color w:val="auto"/>
          <w:highlight w:val="none"/>
          <w:lang w:eastAsia="zh-CN"/>
        </w:rPr>
      </w:pPr>
      <w:bookmarkStart w:id="17" w:name="_Toc25501"/>
      <w:bookmarkStart w:id="18" w:name="_Toc15396600"/>
      <w:bookmarkStart w:id="19" w:name="_Toc15377197"/>
      <w:r>
        <w:rPr>
          <w:rStyle w:val="37"/>
          <w:rFonts w:hint="eastAsia" w:ascii="黑体" w:hAnsi="黑体" w:eastAsia="黑体"/>
          <w:b w:val="0"/>
          <w:bCs w:val="0"/>
          <w:color w:val="auto"/>
          <w:highlight w:val="none"/>
        </w:rPr>
        <w:t>职能</w:t>
      </w:r>
      <w:r>
        <w:rPr>
          <w:rStyle w:val="37"/>
          <w:rFonts w:hint="eastAsia" w:ascii="黑体" w:hAnsi="黑体" w:eastAsia="黑体"/>
          <w:b w:val="0"/>
          <w:bCs w:val="0"/>
          <w:color w:val="auto"/>
          <w:highlight w:val="none"/>
          <w:lang w:eastAsia="zh-CN"/>
        </w:rPr>
        <w:t>简介</w:t>
      </w:r>
      <w:bookmarkEnd w:id="17"/>
    </w:p>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atLeast"/>
        <w:ind w:right="0" w:firstLine="640" w:firstLineChars="200"/>
        <w:jc w:val="left"/>
        <w:textAlignment w:val="auto"/>
        <w:rPr>
          <w:rFonts w:hint="eastAsia" w:ascii="仿宋_GB2312" w:hAnsi="仿宋_GB2312" w:eastAsia="仿宋_GB2312" w:cs="仿宋_GB2312"/>
          <w:sz w:val="32"/>
          <w:szCs w:val="32"/>
          <w:lang w:val="en-US" w:eastAsia="zh-CN"/>
        </w:rPr>
      </w:pPr>
      <w:bookmarkStart w:id="20" w:name="_Toc21395"/>
      <w:r>
        <w:rPr>
          <w:rFonts w:hint="eastAsia" w:ascii="仿宋_GB2312" w:hAnsi="仿宋_GB2312" w:eastAsia="仿宋_GB2312" w:cs="仿宋_GB2312"/>
          <w:sz w:val="32"/>
          <w:szCs w:val="32"/>
        </w:rPr>
        <w:t>做好孕产妇系统管理工作。推行住院分娩，做好学产妇系统化管理，降低孕产妇死亡率。落实妇女孕前期及早孕期的叶酸增补率，完善产前检查，减少畸胎及出生缺陷发生率。实施预防艾滋病、梅毒和乙肝母婴传播项目，提高孕期检测率。加强对阳性病人的治疗与管理。继续开展妇女病普查普治工作，以开展基本公共卫生服务项目为契机，做好儿童保健、孕产妇保健工作。以保障生殖健康为目的，实行保健与临床相结合，面向群体、面向基层和预防为主的妇幼卫生工作方针，切实把妇幼卫生工作重点放到农村;以妇女儿童为中心，加强“两个系统”管理，提高住院分娩率，为广大妇女、儿童提供安全、有效、优质的妇幼卫生服务。</w:t>
      </w:r>
      <w:r>
        <w:rPr>
          <w:rFonts w:hint="eastAsia" w:ascii="仿宋_GB2312" w:hAnsi="仿宋_GB2312" w:eastAsia="仿宋_GB2312" w:cs="仿宋_GB2312"/>
          <w:sz w:val="32"/>
          <w:szCs w:val="32"/>
          <w:lang w:val="en-US" w:eastAsia="zh-CN"/>
        </w:rPr>
        <w:t xml:space="preserve"> </w:t>
      </w:r>
    </w:p>
    <w:p>
      <w:pPr>
        <w:pStyle w:val="3"/>
        <w:numPr>
          <w:ilvl w:val="0"/>
          <w:numId w:val="2"/>
        </w:numPr>
        <w:rPr>
          <w:rFonts w:hint="eastAsia" w:ascii="仿宋_GB2312" w:hAnsi="仿宋_GB2312" w:eastAsia="仿宋_GB2312" w:cs="仿宋_GB2312"/>
          <w:sz w:val="32"/>
          <w:szCs w:val="32"/>
          <w:lang w:val="en-US" w:eastAsia="zh-CN"/>
        </w:rPr>
      </w:pPr>
      <w:r>
        <w:rPr>
          <w:rStyle w:val="37"/>
          <w:rFonts w:hint="eastAsia" w:ascii="黑体" w:hAnsi="黑体" w:eastAsia="黑体"/>
          <w:b w:val="0"/>
          <w:bCs w:val="0"/>
          <w:color w:val="auto"/>
          <w:highlight w:val="none"/>
          <w:lang w:eastAsia="zh-CN"/>
        </w:rPr>
        <w:t>单位机构</w:t>
      </w:r>
      <w:bookmarkStart w:id="103" w:name="_GoBack"/>
      <w:bookmarkEnd w:id="103"/>
      <w:r>
        <w:rPr>
          <w:rStyle w:val="37"/>
          <w:rFonts w:hint="eastAsia" w:ascii="黑体" w:hAnsi="黑体" w:eastAsia="黑体"/>
          <w:b w:val="0"/>
          <w:bCs w:val="0"/>
          <w:color w:val="auto"/>
          <w:highlight w:val="none"/>
          <w:lang w:eastAsia="zh-CN"/>
        </w:rPr>
        <w:t>设置情况</w:t>
      </w:r>
    </w:p>
    <w:p>
      <w:pPr>
        <w:pStyle w:val="44"/>
        <w:rPr>
          <w:rFonts w:hint="eastAsia" w:ascii="仿宋_GB2312" w:hAnsi="仿宋_GB2312" w:eastAsia="仿宋_GB2312" w:cs="仿宋_GB2312"/>
          <w:sz w:val="32"/>
          <w:szCs w:val="32"/>
          <w:lang w:val="en-US" w:eastAsia="zh-CN"/>
        </w:rPr>
      </w:pPr>
      <w:r>
        <w:rPr>
          <w:rFonts w:hint="eastAsia"/>
          <w:color w:val="auto"/>
          <w:lang w:val="en-US" w:eastAsia="zh-CN"/>
        </w:rPr>
        <w:t>乐山市沙湾区妇幼保健计划生育服务中心属于乐山市沙湾区卫生健康局下的直属医疗机构，</w:t>
      </w:r>
      <w:r>
        <w:rPr>
          <w:rFonts w:hint="eastAsia"/>
          <w:color w:val="auto"/>
          <w:highlight w:val="none"/>
        </w:rPr>
        <w:t>内设</w:t>
      </w:r>
      <w:r>
        <w:rPr>
          <w:rFonts w:hint="eastAsia"/>
          <w:color w:val="auto"/>
          <w:highlight w:val="none"/>
          <w:lang w:eastAsia="zh-CN"/>
        </w:rPr>
        <w:t>独立编制</w:t>
      </w:r>
      <w:r>
        <w:rPr>
          <w:rFonts w:hint="eastAsia"/>
          <w:color w:val="auto"/>
          <w:highlight w:val="none"/>
        </w:rPr>
        <w:t>机构</w:t>
      </w:r>
      <w:r>
        <w:rPr>
          <w:rFonts w:hint="eastAsia"/>
          <w:color w:val="auto"/>
          <w:highlight w:val="none"/>
          <w:lang w:val="en-US" w:eastAsia="zh-CN"/>
        </w:rPr>
        <w:t>1</w:t>
      </w:r>
      <w:r>
        <w:rPr>
          <w:rFonts w:hint="eastAsia"/>
          <w:color w:val="auto"/>
          <w:highlight w:val="none"/>
        </w:rPr>
        <w:t>个，二级预算单位</w:t>
      </w:r>
      <w:r>
        <w:rPr>
          <w:rFonts w:hint="eastAsia"/>
          <w:color w:val="auto"/>
          <w:highlight w:val="none"/>
          <w:lang w:val="en-US" w:eastAsia="zh-CN"/>
        </w:rPr>
        <w:t>0个</w:t>
      </w:r>
      <w:r>
        <w:rPr>
          <w:rFonts w:hint="eastAsia"/>
          <w:color w:val="auto"/>
          <w:highlight w:val="none"/>
        </w:rPr>
        <w:t>。</w:t>
      </w:r>
    </w:p>
    <w:p>
      <w:pPr>
        <w:pStyle w:val="3"/>
        <w:numPr>
          <w:ilvl w:val="0"/>
          <w:numId w:val="0"/>
        </w:numPr>
        <w:rPr>
          <w:rFonts w:hint="eastAsia" w:ascii="黑体" w:hAnsi="黑体" w:eastAsia="黑体"/>
          <w:b w:val="0"/>
          <w:color w:val="auto"/>
          <w:highlight w:val="none"/>
        </w:rPr>
      </w:pPr>
      <w:r>
        <w:rPr>
          <w:rFonts w:hint="eastAsia" w:ascii="黑体" w:hAnsi="黑体" w:eastAsia="黑体"/>
          <w:b w:val="0"/>
          <w:color w:val="auto"/>
          <w:highlight w:val="none"/>
          <w:lang w:val="en-US" w:eastAsia="zh-CN"/>
        </w:rPr>
        <w:t>三、2021年重点</w:t>
      </w:r>
      <w:r>
        <w:rPr>
          <w:rFonts w:hint="eastAsia" w:ascii="黑体" w:hAnsi="黑体" w:eastAsia="黑体"/>
          <w:b w:val="0"/>
          <w:color w:val="auto"/>
          <w:highlight w:val="none"/>
        </w:rPr>
        <w:t>工作</w:t>
      </w:r>
      <w:bookmarkEnd w:id="18"/>
      <w:bookmarkEnd w:id="19"/>
      <w:r>
        <w:rPr>
          <w:rFonts w:hint="eastAsia" w:ascii="黑体" w:hAnsi="黑体" w:eastAsia="黑体"/>
          <w:b w:val="0"/>
          <w:color w:val="auto"/>
          <w:highlight w:val="none"/>
          <w:lang w:eastAsia="zh-CN"/>
        </w:rPr>
        <w:t>完成情况</w:t>
      </w:r>
      <w:bookmarkEnd w:id="20"/>
    </w:p>
    <w:p>
      <w:pPr>
        <w:pStyle w:val="17"/>
        <w:shd w:val="clear" w:color="auto" w:fill="FFFFFF"/>
        <w:spacing w:before="0" w:beforeAutospacing="0" w:after="0" w:afterAutospacing="0" w:line="540" w:lineRule="exact"/>
        <w:ind w:firstLine="566" w:firstLineChars="177"/>
        <w:rPr>
          <w:rStyle w:val="23"/>
          <w:rFonts w:ascii="楷体" w:hAnsi="楷体" w:eastAsia="楷体" w:cs="Helvetica"/>
          <w:b w:val="0"/>
          <w:color w:val="auto"/>
          <w:sz w:val="32"/>
          <w:szCs w:val="32"/>
        </w:rPr>
      </w:pPr>
      <w:bookmarkStart w:id="21" w:name="_Toc15396602"/>
      <w:bookmarkStart w:id="22" w:name="_Toc25162"/>
      <w:bookmarkStart w:id="23" w:name="_Toc15377204"/>
      <w:r>
        <w:rPr>
          <w:rFonts w:hint="eastAsia" w:ascii="楷体" w:hAnsi="楷体" w:eastAsia="楷体" w:cs="Helvetica"/>
          <w:color w:val="auto"/>
          <w:sz w:val="32"/>
          <w:szCs w:val="32"/>
        </w:rPr>
        <w:t>（</w:t>
      </w:r>
      <w:r>
        <w:rPr>
          <w:rFonts w:hint="eastAsia" w:ascii="楷体" w:hAnsi="楷体" w:eastAsia="楷体" w:cs="Helvetica"/>
          <w:color w:val="auto"/>
          <w:sz w:val="32"/>
          <w:szCs w:val="32"/>
          <w:lang w:eastAsia="zh-CN"/>
        </w:rPr>
        <w:t>一</w:t>
      </w:r>
      <w:r>
        <w:rPr>
          <w:rFonts w:hint="eastAsia" w:ascii="楷体" w:hAnsi="楷体" w:eastAsia="楷体" w:cs="Helvetica"/>
          <w:color w:val="auto"/>
          <w:sz w:val="32"/>
          <w:szCs w:val="32"/>
        </w:rPr>
        <w:t>）妇幼卫生推进有序</w:t>
      </w:r>
    </w:p>
    <w:p>
      <w:pPr>
        <w:pStyle w:val="17"/>
        <w:shd w:val="clear" w:color="auto" w:fill="FFFFFF"/>
        <w:spacing w:before="0" w:beforeAutospacing="0" w:after="0" w:afterAutospacing="0" w:line="540" w:lineRule="exact"/>
        <w:ind w:firstLine="566" w:firstLineChars="177"/>
        <w:rPr>
          <w:rFonts w:ascii="仿宋_GB2312" w:hAnsi="Helvetica" w:eastAsia="仿宋_GB2312" w:cs="Helvetica"/>
          <w:color w:val="auto"/>
          <w:sz w:val="32"/>
          <w:szCs w:val="32"/>
        </w:rPr>
      </w:pPr>
      <w:r>
        <w:rPr>
          <w:rFonts w:hint="eastAsia" w:ascii="仿宋_GB2312" w:hAnsi="Helvetica" w:eastAsia="仿宋_GB2312" w:cs="Helvetica"/>
          <w:color w:val="auto"/>
          <w:sz w:val="32"/>
          <w:szCs w:val="32"/>
        </w:rPr>
        <w:t>1.巩固提高妇幼保健各项工作质量指标，保障孕产妇和儿童健康安全。</w:t>
      </w:r>
    </w:p>
    <w:p>
      <w:pPr>
        <w:spacing w:line="540" w:lineRule="exact"/>
        <w:ind w:firstLine="566" w:firstLineChars="177"/>
        <w:rPr>
          <w:rFonts w:ascii="仿宋_GB2312" w:eastAsia="仿宋_GB2312"/>
          <w:color w:val="auto"/>
          <w:sz w:val="32"/>
          <w:szCs w:val="32"/>
        </w:rPr>
      </w:pPr>
      <w:r>
        <w:rPr>
          <w:rFonts w:hint="eastAsia" w:ascii="仿宋_GB2312" w:eastAsia="仿宋_GB2312"/>
          <w:color w:val="auto"/>
          <w:sz w:val="32"/>
          <w:szCs w:val="32"/>
        </w:rPr>
        <w:t>⑴孕产妇死亡情况：全区无孕产妇死亡发生(1例为交通意外死亡)。</w:t>
      </w:r>
    </w:p>
    <w:p>
      <w:pPr>
        <w:tabs>
          <w:tab w:val="left" w:pos="6000"/>
        </w:tabs>
        <w:spacing w:line="540" w:lineRule="exact"/>
        <w:ind w:firstLine="566" w:firstLineChars="177"/>
        <w:rPr>
          <w:rFonts w:ascii="仿宋_GB2312" w:eastAsia="仿宋_GB2312" w:hAnsiTheme="minorEastAsia"/>
          <w:color w:val="auto"/>
          <w:sz w:val="32"/>
          <w:szCs w:val="32"/>
        </w:rPr>
      </w:pPr>
      <w:r>
        <w:rPr>
          <w:rFonts w:hint="eastAsia" w:ascii="仿宋_GB2312" w:eastAsia="仿宋_GB2312"/>
          <w:color w:val="auto"/>
          <w:sz w:val="32"/>
          <w:szCs w:val="32"/>
        </w:rPr>
        <w:t>⑵孕产妇保健服务情况：全区产妇总数690人，活产数700人，</w:t>
      </w:r>
      <w:r>
        <w:rPr>
          <w:rFonts w:hint="eastAsia" w:ascii="仿宋_GB2312" w:eastAsia="仿宋_GB2312" w:hAnsiTheme="minorEastAsia"/>
          <w:color w:val="auto"/>
          <w:sz w:val="32"/>
          <w:szCs w:val="32"/>
        </w:rPr>
        <w:t>孕产妇系统管理人数为688人，系统管理率为98.29%，住院分娩活产数469人，住院分娩率为100%。</w:t>
      </w:r>
    </w:p>
    <w:p>
      <w:pPr>
        <w:spacing w:line="540" w:lineRule="exact"/>
        <w:ind w:firstLine="566" w:firstLineChars="177"/>
        <w:rPr>
          <w:rFonts w:ascii="仿宋_GB2312" w:eastAsia="仿宋_GB2312" w:hAnsiTheme="minorEastAsia"/>
          <w:color w:val="auto"/>
          <w:sz w:val="32"/>
          <w:szCs w:val="32"/>
        </w:rPr>
      </w:pPr>
      <w:r>
        <w:rPr>
          <w:rFonts w:hint="eastAsia" w:ascii="仿宋_GB2312" w:hAnsi="Helvetica" w:eastAsia="仿宋_GB2312" w:cs="Helvetica"/>
          <w:color w:val="auto"/>
          <w:sz w:val="32"/>
          <w:szCs w:val="32"/>
        </w:rPr>
        <w:t>⑶儿童保健服务情况：</w:t>
      </w:r>
      <w:r>
        <w:rPr>
          <w:rFonts w:hint="eastAsia" w:ascii="仿宋_GB2312" w:eastAsia="仿宋_GB2312"/>
          <w:color w:val="auto"/>
          <w:sz w:val="32"/>
          <w:szCs w:val="32"/>
        </w:rPr>
        <w:t>全区3岁以下儿童2142人， 3岁以下儿童系统管理人数2103人，系统管理率为98.18%。5岁以下儿童死亡率为3例，死亡率为4.29‰，其中新生儿死亡1例，新生儿死亡率为1.43‰，婴幼儿死亡2例，死亡率为2.86‰。</w:t>
      </w:r>
      <w:r>
        <w:rPr>
          <w:rFonts w:hint="eastAsia" w:ascii="仿宋_GB2312" w:eastAsia="仿宋_GB2312" w:hAnsiTheme="minorEastAsia"/>
          <w:color w:val="auto"/>
          <w:sz w:val="32"/>
          <w:szCs w:val="32"/>
        </w:rPr>
        <w:t xml:space="preserve"> </w:t>
      </w:r>
    </w:p>
    <w:p>
      <w:pPr>
        <w:tabs>
          <w:tab w:val="left" w:pos="6000"/>
        </w:tabs>
        <w:spacing w:line="540" w:lineRule="exact"/>
        <w:ind w:firstLine="566" w:firstLineChars="177"/>
        <w:rPr>
          <w:rFonts w:ascii="仿宋_GB2312" w:hAnsi="Helvetica" w:eastAsia="仿宋_GB2312" w:cs="Helvetica"/>
          <w:color w:val="auto"/>
          <w:sz w:val="32"/>
          <w:szCs w:val="32"/>
        </w:rPr>
      </w:pPr>
      <w:r>
        <w:rPr>
          <w:rFonts w:hint="eastAsia" w:ascii="仿宋_GB2312" w:hAnsi="Helvetica" w:eastAsia="仿宋_GB2312" w:cs="Helvetica"/>
          <w:color w:val="auto"/>
          <w:sz w:val="32"/>
          <w:szCs w:val="32"/>
        </w:rPr>
        <w:t>2.加强重点公共卫生项目建设，确保项目有效有序推进。</w:t>
      </w:r>
    </w:p>
    <w:p>
      <w:pPr>
        <w:spacing w:line="540" w:lineRule="exact"/>
        <w:ind w:firstLine="566" w:firstLineChars="177"/>
        <w:rPr>
          <w:rFonts w:ascii="仿宋_GB2312" w:hAnsi="宋体" w:eastAsia="仿宋_GB2312"/>
          <w:color w:val="auto"/>
          <w:sz w:val="32"/>
          <w:szCs w:val="32"/>
        </w:rPr>
      </w:pPr>
      <w:r>
        <w:rPr>
          <w:rFonts w:hint="eastAsia" w:ascii="仿宋_GB2312" w:eastAsia="仿宋_GB2312"/>
          <w:color w:val="auto"/>
          <w:sz w:val="32"/>
          <w:szCs w:val="32"/>
        </w:rPr>
        <w:t>⑴</w:t>
      </w:r>
      <w:r>
        <w:rPr>
          <w:rFonts w:hint="eastAsia" w:ascii="仿宋_GB2312" w:hAnsi="宋体" w:eastAsia="仿宋_GB2312"/>
          <w:color w:val="auto"/>
          <w:sz w:val="32"/>
          <w:szCs w:val="32"/>
        </w:rPr>
        <w:t>目标人群发放叶酸695人，完成年目标任务的99.29%（年初目标任务为700人）。</w:t>
      </w:r>
    </w:p>
    <w:p>
      <w:pPr>
        <w:pStyle w:val="47"/>
        <w:spacing w:line="540" w:lineRule="exact"/>
        <w:ind w:firstLine="566" w:firstLineChars="177"/>
        <w:rPr>
          <w:rFonts w:ascii="仿宋_GB2312" w:hAnsi="仿宋" w:eastAsia="仿宋_GB2312"/>
          <w:color w:val="auto"/>
          <w:sz w:val="32"/>
          <w:szCs w:val="32"/>
        </w:rPr>
      </w:pPr>
      <w:r>
        <w:rPr>
          <w:rFonts w:hint="eastAsia" w:ascii="仿宋_GB2312" w:eastAsia="仿宋_GB2312"/>
          <w:color w:val="auto"/>
          <w:sz w:val="32"/>
          <w:szCs w:val="32"/>
        </w:rPr>
        <w:t>⑵积极开展“两癌筛查”和妇女病普查工作。</w:t>
      </w:r>
      <w:r>
        <w:rPr>
          <w:rFonts w:hint="eastAsia" w:ascii="仿宋_GB2312" w:hAnsi="仿宋" w:eastAsia="仿宋_GB2312"/>
          <w:color w:val="auto"/>
          <w:sz w:val="32"/>
          <w:szCs w:val="32"/>
          <w:lang w:eastAsia="zh-CN"/>
        </w:rPr>
        <w:t>全年</w:t>
      </w:r>
      <w:r>
        <w:rPr>
          <w:rFonts w:hint="eastAsia" w:ascii="仿宋_GB2312" w:hAnsi="仿宋" w:eastAsia="仿宋_GB2312"/>
          <w:color w:val="auto"/>
          <w:sz w:val="32"/>
          <w:szCs w:val="32"/>
        </w:rPr>
        <w:t>宫颈癌筛查1203名妇女（任务1000名），其中筛查出不典型鳞状上皮细胞37例，低度鳞状上皮内病变2例，高度鳞状上皮内病变1例，随访3例，治疗3例。乳腺癌筛查907名（任务900名），其中筛查出乳腺纤维腺瘤21例，乳腺导管内乳头状瘤1例，浸润性导管癌1例，随访1例，治疗1例。</w:t>
      </w:r>
    </w:p>
    <w:p>
      <w:pPr>
        <w:pStyle w:val="47"/>
        <w:spacing w:line="540" w:lineRule="exact"/>
        <w:ind w:firstLine="566" w:firstLineChars="177"/>
        <w:rPr>
          <w:rFonts w:ascii="仿宋_GB2312" w:eastAsia="仿宋_GB2312"/>
          <w:color w:val="auto"/>
          <w:sz w:val="32"/>
          <w:szCs w:val="32"/>
        </w:rPr>
      </w:pPr>
      <w:r>
        <w:rPr>
          <w:rFonts w:hint="eastAsia" w:ascii="仿宋_GB2312" w:hAnsi="仿宋" w:eastAsia="仿宋_GB2312"/>
          <w:color w:val="auto"/>
          <w:sz w:val="32"/>
          <w:szCs w:val="32"/>
        </w:rPr>
        <w:t>⑶</w:t>
      </w:r>
      <w:r>
        <w:rPr>
          <w:rFonts w:hint="eastAsia" w:ascii="仿宋_GB2312" w:eastAsia="仿宋_GB2312"/>
          <w:color w:val="auto"/>
          <w:sz w:val="32"/>
          <w:szCs w:val="32"/>
        </w:rPr>
        <w:t>母婴阻断项目：全区住院分娩产妇469人，活产469人，孕早期接受HIV、梅毒、乙肝检测人数为430人，孕早期检测率为91.68％，高出目标任务6.68个百分点;孕期接受艾滋病、梅毒和乙肝检测人数为466人，检测率为99.36%；孕产妇HIV、梅毒、乙肝检测率为100％。HIV感染育龄妇女52人，其中接受抗病毒治疗为51人，治疗率98.08％（失访、脱治1人），未采取长效避孕措施人数为23人，接受孕情检测人数为22人，孕情检测覆盖率为95.65%。</w:t>
      </w:r>
    </w:p>
    <w:p>
      <w:pPr>
        <w:pStyle w:val="47"/>
        <w:spacing w:line="540" w:lineRule="exact"/>
        <w:ind w:firstLine="566" w:firstLineChars="177"/>
        <w:rPr>
          <w:rFonts w:ascii="仿宋_GB2312" w:eastAsia="仿宋_GB2312"/>
          <w:color w:val="auto"/>
          <w:sz w:val="32"/>
          <w:szCs w:val="32"/>
          <w:shd w:val="clear" w:color="auto" w:fill="FFFFFF"/>
        </w:rPr>
      </w:pPr>
      <w:r>
        <w:rPr>
          <w:rFonts w:hint="eastAsia" w:ascii="仿宋_GB2312" w:eastAsia="仿宋_GB2312"/>
          <w:color w:val="auto"/>
          <w:sz w:val="32"/>
          <w:szCs w:val="32"/>
        </w:rPr>
        <w:t>3.</w:t>
      </w:r>
      <w:r>
        <w:rPr>
          <w:rFonts w:hint="eastAsia" w:ascii="仿宋_GB2312" w:eastAsia="仿宋_GB2312"/>
          <w:color w:val="auto"/>
          <w:sz w:val="32"/>
          <w:szCs w:val="32"/>
          <w:shd w:val="clear" w:color="auto" w:fill="FFFFFF"/>
        </w:rPr>
        <w:t>扎实开展基本公共卫生妇幼项目服务。</w:t>
      </w:r>
    </w:p>
    <w:p>
      <w:pPr>
        <w:pStyle w:val="47"/>
        <w:spacing w:line="540" w:lineRule="exact"/>
        <w:ind w:firstLine="566" w:firstLineChars="177"/>
        <w:rPr>
          <w:rFonts w:ascii="仿宋_GB2312" w:hAnsi="Helvetica" w:eastAsia="仿宋_GB2312" w:cs="Helvetica"/>
          <w:color w:val="auto"/>
          <w:sz w:val="32"/>
          <w:szCs w:val="32"/>
        </w:rPr>
      </w:pPr>
      <w:r>
        <w:rPr>
          <w:rFonts w:hint="eastAsia" w:ascii="仿宋_GB2312" w:eastAsia="仿宋_GB2312"/>
          <w:color w:val="auto"/>
          <w:sz w:val="32"/>
          <w:szCs w:val="32"/>
        </w:rPr>
        <w:t>0-6岁儿童健康管理、孕产妇健康管理工作在真实性和规范性有显著提高。目前辖区活产数480</w:t>
      </w:r>
      <w:r>
        <w:rPr>
          <w:rFonts w:hint="eastAsia" w:ascii="仿宋_GB2312" w:hAnsi="宋体" w:eastAsia="仿宋_GB2312" w:cs="Arial"/>
          <w:color w:val="auto"/>
          <w:sz w:val="32"/>
          <w:szCs w:val="32"/>
          <w:shd w:val="clear" w:color="auto" w:fill="FFFFFF"/>
        </w:rPr>
        <w:t>人</w:t>
      </w:r>
      <w:r>
        <w:rPr>
          <w:rFonts w:hint="eastAsia" w:ascii="仿宋_GB2312" w:eastAsia="仿宋_GB2312"/>
          <w:color w:val="auto"/>
          <w:sz w:val="32"/>
          <w:szCs w:val="32"/>
        </w:rPr>
        <w:t>，新生儿访视数474</w:t>
      </w:r>
      <w:r>
        <w:rPr>
          <w:rFonts w:hint="eastAsia" w:ascii="仿宋_GB2312" w:hAnsi="宋体" w:eastAsia="仿宋_GB2312" w:cs="Arial"/>
          <w:color w:val="auto"/>
          <w:sz w:val="32"/>
          <w:szCs w:val="32"/>
          <w:shd w:val="clear" w:color="auto" w:fill="FFFFFF"/>
        </w:rPr>
        <w:t>人</w:t>
      </w:r>
      <w:r>
        <w:rPr>
          <w:rFonts w:hint="eastAsia" w:ascii="仿宋_GB2312" w:eastAsia="仿宋_GB2312"/>
          <w:color w:val="auto"/>
          <w:sz w:val="32"/>
          <w:szCs w:val="32"/>
        </w:rPr>
        <w:t>，新生儿访视率98.75%；0-6岁儿童5902人，管理5841人，管理率98.97%；孕产妇早孕建册451人，早孕建册率93.96%；产后访视458人，产后访视率95.42%；0-36个月儿童数2195人，中医药健康管理1995人，中医药健康管理率90.89%。</w:t>
      </w:r>
    </w:p>
    <w:p>
      <w:pPr>
        <w:pStyle w:val="47"/>
        <w:tabs>
          <w:tab w:val="left" w:pos="312"/>
        </w:tabs>
        <w:spacing w:line="540" w:lineRule="exact"/>
        <w:ind w:firstLine="566" w:firstLineChars="177"/>
        <w:rPr>
          <w:rFonts w:hint="eastAsia" w:ascii="仿宋_GB2312" w:eastAsia="仿宋_GB2312"/>
          <w:color w:val="auto"/>
          <w:sz w:val="32"/>
          <w:szCs w:val="32"/>
          <w:lang w:eastAsia="zh-CN"/>
        </w:rPr>
      </w:pPr>
      <w:r>
        <w:rPr>
          <w:rFonts w:hint="eastAsia" w:ascii="仿宋_GB2312" w:eastAsia="仿宋_GB2312"/>
          <w:color w:val="auto"/>
          <w:sz w:val="32"/>
          <w:szCs w:val="32"/>
        </w:rPr>
        <w:t>4.其他项目工</w:t>
      </w:r>
      <w:r>
        <w:rPr>
          <w:rFonts w:hint="eastAsia" w:ascii="仿宋_GB2312" w:eastAsia="仿宋_GB2312"/>
          <w:color w:val="auto"/>
          <w:sz w:val="32"/>
          <w:szCs w:val="32"/>
          <w:lang w:eastAsia="zh-CN"/>
        </w:rPr>
        <w:t>作。</w:t>
      </w:r>
    </w:p>
    <w:p>
      <w:pPr>
        <w:pStyle w:val="47"/>
        <w:spacing w:line="540" w:lineRule="exact"/>
        <w:ind w:firstLine="566" w:firstLineChars="177"/>
        <w:rPr>
          <w:rFonts w:ascii="仿宋_GB2312" w:eastAsia="仿宋_GB2312"/>
          <w:color w:val="auto"/>
          <w:sz w:val="32"/>
          <w:szCs w:val="32"/>
        </w:rPr>
      </w:pPr>
      <w:r>
        <w:rPr>
          <w:rFonts w:hint="eastAsia" w:ascii="仿宋_GB2312" w:eastAsia="仿宋_GB2312"/>
          <w:color w:val="auto"/>
          <w:sz w:val="32"/>
          <w:szCs w:val="32"/>
        </w:rPr>
        <w:t>⑴</w:t>
      </w:r>
      <w:r>
        <w:rPr>
          <w:rFonts w:hint="eastAsia" w:ascii="仿宋_GB2312" w:hAnsi="Helvetica" w:eastAsia="仿宋_GB2312" w:cs="Helvetica"/>
          <w:color w:val="auto"/>
          <w:sz w:val="32"/>
          <w:szCs w:val="32"/>
        </w:rPr>
        <w:t>加大婚（孕）前医学检查工作力度。</w:t>
      </w:r>
      <w:r>
        <w:rPr>
          <w:rFonts w:hint="eastAsia" w:ascii="仿宋_GB2312" w:eastAsia="仿宋_GB2312"/>
          <w:color w:val="auto"/>
          <w:sz w:val="32"/>
          <w:szCs w:val="32"/>
        </w:rPr>
        <w:t>2021年自愿免费婚前医学检查目标为87%，结婚登记 1812人，检查1766人，婚前医学检查率为97.46 %；孕前优生健康目标任务为900人（今年孕前优生任务不再分城镇和农村人口），实际检查90</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人，完成目标任务100.11%。对婚（孕）前医学检查中的高危人群，中心全部提出合理指导意见，最大程度地防止出生缺陷的发生。</w:t>
      </w:r>
    </w:p>
    <w:p>
      <w:pPr>
        <w:spacing w:line="540" w:lineRule="exact"/>
        <w:ind w:firstLine="566" w:firstLineChars="177"/>
        <w:rPr>
          <w:rFonts w:ascii="仿宋_GB2312" w:hAnsi="宋体" w:eastAsia="仿宋_GB2312"/>
          <w:color w:val="auto"/>
          <w:sz w:val="32"/>
          <w:szCs w:val="32"/>
        </w:rPr>
      </w:pPr>
      <w:r>
        <w:rPr>
          <w:rFonts w:hint="eastAsia" w:ascii="仿宋_GB2312" w:eastAsia="仿宋_GB2312"/>
          <w:color w:val="auto"/>
          <w:sz w:val="32"/>
          <w:szCs w:val="32"/>
        </w:rPr>
        <w:t>⑵</w:t>
      </w:r>
      <w:r>
        <w:rPr>
          <w:rFonts w:hint="eastAsia" w:ascii="仿宋_GB2312" w:hAnsi="Helvetica" w:eastAsia="仿宋_GB2312" w:cs="Helvetica"/>
          <w:color w:val="auto"/>
          <w:sz w:val="32"/>
          <w:szCs w:val="32"/>
        </w:rPr>
        <w:t>不断提高新生儿疾病筛查、诊断和治疗能力。进一步加强与规范新筛工作，落实专人负责筛查血片的收集、递送、登记和验收、阳性患儿的召回、追踪、随访及治疗工作。</w:t>
      </w:r>
      <w:r>
        <w:rPr>
          <w:rFonts w:hint="eastAsia" w:ascii="仿宋_GB2312" w:hAnsi="宋体" w:eastAsia="仿宋_GB2312"/>
          <w:color w:val="auto"/>
          <w:sz w:val="32"/>
          <w:szCs w:val="32"/>
        </w:rPr>
        <w:t>辖区内机构活产数469例，其中：保健院活产数389例，区人民医院80例。机构采血数467例，全区新生儿疾病筛查率达99.57%（目标任务</w:t>
      </w:r>
      <w:r>
        <w:rPr>
          <w:rFonts w:hint="eastAsia" w:ascii="仿宋_GB2312" w:hAnsi="宋体" w:eastAsia="仿宋_GB2312" w:cs="宋体"/>
          <w:color w:val="auto"/>
          <w:kern w:val="0"/>
          <w:sz w:val="32"/>
          <w:szCs w:val="32"/>
        </w:rPr>
        <w:t>≥97.5%</w:t>
      </w:r>
      <w:r>
        <w:rPr>
          <w:rFonts w:hint="eastAsia" w:ascii="仿宋_GB2312" w:hAnsi="宋体" w:eastAsia="仿宋_GB2312"/>
          <w:color w:val="auto"/>
          <w:sz w:val="32"/>
          <w:szCs w:val="32"/>
        </w:rPr>
        <w:t>）。 区保健院筛查率99.49%，区人员医院筛查率100%。</w:t>
      </w:r>
    </w:p>
    <w:p>
      <w:pPr>
        <w:spacing w:line="540" w:lineRule="exact"/>
        <w:ind w:firstLine="566" w:firstLineChars="177"/>
        <w:rPr>
          <w:rFonts w:ascii="仿宋_GB2312" w:hAnsi="宋体" w:eastAsia="仿宋_GB2312"/>
          <w:color w:val="auto"/>
          <w:sz w:val="32"/>
          <w:szCs w:val="32"/>
        </w:rPr>
      </w:pPr>
      <w:r>
        <w:rPr>
          <w:rFonts w:hint="eastAsia" w:ascii="仿宋_GB2312" w:hAnsi="仿宋" w:eastAsia="仿宋_GB2312"/>
          <w:color w:val="auto"/>
          <w:sz w:val="32"/>
          <w:szCs w:val="32"/>
        </w:rPr>
        <w:t>⑶持续加强听力筛查和产前筛查。</w:t>
      </w:r>
      <w:r>
        <w:rPr>
          <w:rFonts w:hint="eastAsia" w:ascii="仿宋_GB2312" w:hAnsi="宋体" w:eastAsia="仿宋_GB2312" w:cs="宋体"/>
          <w:color w:val="auto"/>
          <w:kern w:val="0"/>
          <w:sz w:val="32"/>
          <w:szCs w:val="32"/>
        </w:rPr>
        <w:t>开展新生儿听力筛查466例，全区听力筛查率为99.36%（目标≥90%）</w:t>
      </w:r>
      <w:r>
        <w:rPr>
          <w:rFonts w:hint="eastAsia" w:ascii="仿宋_GB2312" w:hAnsi="宋体" w:eastAsia="仿宋_GB2312"/>
          <w:color w:val="auto"/>
          <w:sz w:val="32"/>
          <w:szCs w:val="32"/>
        </w:rPr>
        <w:t>区保健院听力筛查率98.97%，区人民医院筛查率101.25%。</w:t>
      </w:r>
      <w:r>
        <w:rPr>
          <w:rFonts w:hint="eastAsia" w:ascii="仿宋_GB2312" w:hAnsi="宋体" w:eastAsia="仿宋_GB2312" w:cs="宋体"/>
          <w:color w:val="auto"/>
          <w:kern w:val="0"/>
          <w:sz w:val="32"/>
          <w:szCs w:val="32"/>
        </w:rPr>
        <w:t>辖区内机构产妇数469人，开展产前筛查326人，全区产前筛查率69.51%.（目标≥68%</w:t>
      </w:r>
      <w:r>
        <w:rPr>
          <w:rFonts w:hint="eastAsia" w:ascii="仿宋_GB2312" w:hAnsi="宋体" w:eastAsia="仿宋_GB2312"/>
          <w:color w:val="auto"/>
          <w:sz w:val="32"/>
          <w:szCs w:val="32"/>
        </w:rPr>
        <w:t>）</w:t>
      </w:r>
      <w:r>
        <w:rPr>
          <w:rFonts w:hint="eastAsia" w:ascii="仿宋_GB2312" w:hAnsi="宋体" w:eastAsia="仿宋_GB2312" w:cs="宋体"/>
          <w:color w:val="auto"/>
          <w:kern w:val="0"/>
          <w:sz w:val="32"/>
          <w:szCs w:val="32"/>
        </w:rPr>
        <w:t>。</w:t>
      </w:r>
      <w:r>
        <w:rPr>
          <w:rFonts w:hint="eastAsia" w:ascii="仿宋_GB2312" w:hAnsi="宋体" w:eastAsia="仿宋_GB2312"/>
          <w:color w:val="auto"/>
          <w:sz w:val="32"/>
          <w:szCs w:val="32"/>
        </w:rPr>
        <w:t>区保健院产前筛查率71.39%，区人民医院产前筛查率60.49%。</w:t>
      </w:r>
    </w:p>
    <w:p>
      <w:pPr>
        <w:pStyle w:val="17"/>
        <w:shd w:val="clear" w:color="auto" w:fill="FFFFFF"/>
        <w:spacing w:before="0" w:beforeAutospacing="0" w:after="0" w:afterAutospacing="0" w:line="540" w:lineRule="exact"/>
        <w:ind w:firstLine="566" w:firstLineChars="177"/>
        <w:rPr>
          <w:rFonts w:hint="eastAsia" w:ascii="仿宋_GB2312" w:hAnsi="Helvetica" w:eastAsia="仿宋_GB2312" w:cs="Helvetica"/>
          <w:color w:val="auto"/>
          <w:sz w:val="32"/>
          <w:szCs w:val="32"/>
          <w:lang w:eastAsia="zh-CN"/>
        </w:rPr>
      </w:pPr>
      <w:r>
        <w:rPr>
          <w:rFonts w:hint="eastAsia" w:ascii="仿宋_GB2312" w:hAnsi="Helvetica" w:eastAsia="仿宋_GB2312" w:cs="Helvetica"/>
          <w:color w:val="auto"/>
          <w:sz w:val="32"/>
          <w:szCs w:val="32"/>
        </w:rPr>
        <w:t>5.切实保障母婴安全</w:t>
      </w:r>
      <w:r>
        <w:rPr>
          <w:rFonts w:hint="eastAsia" w:ascii="仿宋_GB2312" w:hAnsi="Helvetica" w:eastAsia="仿宋_GB2312" w:cs="Helvetica"/>
          <w:color w:val="auto"/>
          <w:sz w:val="32"/>
          <w:szCs w:val="32"/>
          <w:lang w:eastAsia="zh-CN"/>
        </w:rPr>
        <w:t>。</w:t>
      </w:r>
    </w:p>
    <w:p>
      <w:pPr>
        <w:pStyle w:val="17"/>
        <w:shd w:val="clear" w:color="auto" w:fill="FFFFFF"/>
        <w:spacing w:before="0" w:beforeAutospacing="0" w:after="0" w:afterAutospacing="0" w:line="540" w:lineRule="exact"/>
        <w:ind w:firstLine="566" w:firstLineChars="177"/>
        <w:rPr>
          <w:rFonts w:ascii="仿宋_GB2312" w:hAnsi="宋体" w:eastAsia="仿宋_GB2312" w:cs="Arial"/>
          <w:color w:val="auto"/>
          <w:sz w:val="32"/>
          <w:szCs w:val="32"/>
          <w:shd w:val="clear" w:color="auto" w:fill="FFFFFF"/>
        </w:rPr>
      </w:pPr>
      <w:r>
        <w:rPr>
          <w:rFonts w:hint="eastAsia" w:ascii="仿宋_GB2312" w:hAnsi="宋体" w:eastAsia="仿宋_GB2312" w:cs="Arial"/>
          <w:color w:val="auto"/>
          <w:sz w:val="32"/>
          <w:szCs w:val="32"/>
          <w:shd w:val="clear" w:color="auto" w:fill="FFFFFF"/>
        </w:rPr>
        <w:t>全区机构活产数469人，剖宫产活产数253人，剖宫产率53.94%（目标55%以下）。其中区保健院剖宫产51.93%，区人民医院剖宫产率63.75%。非医学指征剖宫产数3人，非医学指征剖宫产率0.64%（目标10%以下）。</w:t>
      </w:r>
    </w:p>
    <w:p>
      <w:pPr>
        <w:tabs>
          <w:tab w:val="left" w:pos="6000"/>
        </w:tabs>
        <w:spacing w:line="540" w:lineRule="exact"/>
        <w:ind w:firstLine="566" w:firstLineChars="177"/>
        <w:rPr>
          <w:rFonts w:ascii="仿宋_GB2312" w:hAnsi="Helvetica" w:eastAsia="仿宋_GB2312" w:cs="Helvetica"/>
          <w:color w:val="auto"/>
          <w:sz w:val="32"/>
          <w:szCs w:val="32"/>
        </w:rPr>
      </w:pPr>
      <w:r>
        <w:rPr>
          <w:rFonts w:hint="eastAsia" w:ascii="仿宋_GB2312" w:hAnsi="Helvetica" w:eastAsia="仿宋_GB2312" w:cs="Helvetica"/>
          <w:color w:val="auto"/>
          <w:sz w:val="32"/>
          <w:szCs w:val="32"/>
        </w:rPr>
        <w:t>6.加强出生医学证明管理，确保出生医学证明使用安全。</w:t>
      </w:r>
    </w:p>
    <w:p>
      <w:pPr>
        <w:tabs>
          <w:tab w:val="left" w:pos="6000"/>
        </w:tabs>
        <w:spacing w:line="540" w:lineRule="exact"/>
        <w:ind w:firstLine="566" w:firstLineChars="177"/>
        <w:rPr>
          <w:rFonts w:ascii="仿宋_GB2312" w:eastAsia="仿宋_GB2312"/>
          <w:color w:val="auto"/>
          <w:sz w:val="32"/>
          <w:szCs w:val="32"/>
        </w:rPr>
      </w:pPr>
      <w:r>
        <w:rPr>
          <w:rFonts w:hint="eastAsia" w:ascii="仿宋_GB2312" w:eastAsia="仿宋_GB2312"/>
          <w:color w:val="auto"/>
          <w:sz w:val="32"/>
          <w:szCs w:val="32"/>
        </w:rPr>
        <w:t>严格《出生医学证明》操作流程。落实专人负责，严格新办、补办《出生医学证明》登记程序，保证《出生医学证明》的依法办理和有效发放，废证率为0.39%。</w:t>
      </w:r>
    </w:p>
    <w:p>
      <w:pPr>
        <w:spacing w:line="540" w:lineRule="exact"/>
        <w:ind w:firstLine="566" w:firstLineChars="177"/>
        <w:rPr>
          <w:rFonts w:ascii="仿宋_GB2312" w:hAnsi="Helvetica" w:eastAsia="仿宋_GB2312" w:cs="Helvetica"/>
          <w:color w:val="auto"/>
          <w:sz w:val="32"/>
          <w:szCs w:val="32"/>
        </w:rPr>
      </w:pPr>
      <w:r>
        <w:rPr>
          <w:rFonts w:hint="eastAsia" w:ascii="仿宋_GB2312" w:hAnsi="Helvetica" w:eastAsia="仿宋_GB2312" w:cs="Helvetica"/>
          <w:color w:val="auto"/>
          <w:sz w:val="32"/>
          <w:szCs w:val="32"/>
        </w:rPr>
        <w:t>7.加强辖区培训与督导，提高保健技能。</w:t>
      </w:r>
    </w:p>
    <w:p>
      <w:pPr>
        <w:spacing w:line="540" w:lineRule="exact"/>
        <w:ind w:firstLine="566" w:firstLineChars="177"/>
        <w:rPr>
          <w:rFonts w:ascii="仿宋_GB2312" w:hAnsi="Helvetica" w:eastAsia="仿宋_GB2312" w:cs="Helvetica"/>
          <w:color w:val="auto"/>
          <w:sz w:val="32"/>
          <w:szCs w:val="32"/>
        </w:rPr>
      </w:pPr>
      <w:r>
        <w:rPr>
          <w:rFonts w:hint="eastAsia" w:ascii="仿宋_GB2312" w:eastAsia="仿宋_GB2312"/>
          <w:color w:val="auto"/>
          <w:sz w:val="32"/>
          <w:szCs w:val="32"/>
        </w:rPr>
        <w:t>坚持开展了</w:t>
      </w:r>
      <w:r>
        <w:rPr>
          <w:rFonts w:hint="eastAsia" w:ascii="仿宋_GB2312" w:hAnsi="Helvetica" w:eastAsia="仿宋_GB2312" w:cs="Helvetica"/>
          <w:color w:val="auto"/>
          <w:sz w:val="32"/>
          <w:szCs w:val="32"/>
        </w:rPr>
        <w:t>每季度1次的常规信息例会；对辖区内区人民医院和8个镇卫生院、1个社区卫生服务中心（站）进行了1次专项质控督查，涵盖内容包括信息管理、保健管理、项目建设、健康教育、母婴保健法律证件管理等，</w:t>
      </w:r>
      <w:r>
        <w:rPr>
          <w:rFonts w:hint="eastAsia" w:ascii="仿宋_GB2312" w:eastAsia="仿宋_GB2312"/>
          <w:color w:val="auto"/>
          <w:sz w:val="32"/>
          <w:szCs w:val="32"/>
        </w:rPr>
        <w:t>为考核督导提供依据。</w:t>
      </w:r>
    </w:p>
    <w:p>
      <w:pPr>
        <w:spacing w:line="540" w:lineRule="exact"/>
        <w:ind w:firstLine="566" w:firstLineChars="177"/>
        <w:rPr>
          <w:rFonts w:ascii="楷体" w:hAnsi="楷体" w:eastAsia="楷体"/>
          <w:color w:val="auto"/>
          <w:sz w:val="32"/>
          <w:szCs w:val="32"/>
        </w:rPr>
      </w:pPr>
      <w:r>
        <w:rPr>
          <w:rFonts w:hint="eastAsia" w:ascii="楷体" w:hAnsi="楷体" w:eastAsia="楷体" w:cs="宋体"/>
          <w:color w:val="auto"/>
          <w:kern w:val="0"/>
          <w:sz w:val="32"/>
          <w:szCs w:val="32"/>
        </w:rPr>
        <w:t>（</w:t>
      </w:r>
      <w:r>
        <w:rPr>
          <w:rFonts w:hint="eastAsia" w:ascii="楷体" w:hAnsi="楷体" w:eastAsia="楷体" w:cs="宋体"/>
          <w:color w:val="auto"/>
          <w:kern w:val="0"/>
          <w:sz w:val="32"/>
          <w:szCs w:val="32"/>
          <w:lang w:eastAsia="zh-CN"/>
        </w:rPr>
        <w:t>二</w:t>
      </w:r>
      <w:r>
        <w:rPr>
          <w:rFonts w:hint="eastAsia" w:ascii="楷体" w:hAnsi="楷体" w:eastAsia="楷体" w:cs="宋体"/>
          <w:color w:val="auto"/>
          <w:kern w:val="0"/>
          <w:sz w:val="32"/>
          <w:szCs w:val="32"/>
        </w:rPr>
        <w:t>）人才</w:t>
      </w:r>
      <w:r>
        <w:rPr>
          <w:rFonts w:hint="eastAsia" w:ascii="楷体" w:hAnsi="楷体" w:eastAsia="楷体"/>
          <w:color w:val="auto"/>
          <w:sz w:val="32"/>
          <w:szCs w:val="32"/>
        </w:rPr>
        <w:t>培养和设备投入持续加大</w:t>
      </w:r>
    </w:p>
    <w:p>
      <w:pPr>
        <w:spacing w:line="540" w:lineRule="exact"/>
        <w:ind w:firstLine="566" w:firstLineChars="177"/>
        <w:rPr>
          <w:rFonts w:hint="eastAsia" w:ascii="仿宋_GB2312" w:eastAsia="仿宋_GB2312"/>
          <w:color w:val="auto"/>
          <w:sz w:val="32"/>
          <w:szCs w:val="32"/>
          <w:lang w:eastAsia="zh-CN"/>
        </w:rPr>
      </w:pPr>
      <w:r>
        <w:rPr>
          <w:rFonts w:hint="eastAsia" w:ascii="仿宋_GB2312" w:eastAsia="仿宋_GB2312"/>
          <w:color w:val="auto"/>
          <w:sz w:val="32"/>
          <w:szCs w:val="32"/>
        </w:rPr>
        <w:t>1.在硬件设施投入上，已完成1500万新院区业务综合楼的</w:t>
      </w:r>
      <w:r>
        <w:rPr>
          <w:rFonts w:hint="eastAsia" w:ascii="仿宋_GB2312" w:eastAsia="仿宋_GB2312"/>
          <w:color w:val="auto"/>
          <w:sz w:val="32"/>
          <w:szCs w:val="32"/>
          <w:lang w:eastAsia="zh-CN"/>
        </w:rPr>
        <w:t>结算审计</w:t>
      </w:r>
      <w:r>
        <w:rPr>
          <w:rFonts w:hint="eastAsia" w:ascii="仿宋_GB2312" w:eastAsia="仿宋_GB2312"/>
          <w:color w:val="auto"/>
          <w:sz w:val="32"/>
          <w:szCs w:val="32"/>
        </w:rPr>
        <w:t>工作</w:t>
      </w:r>
      <w:r>
        <w:rPr>
          <w:rFonts w:hint="eastAsia" w:ascii="仿宋_GB2312" w:eastAsia="仿宋_GB2312"/>
          <w:color w:val="auto"/>
          <w:sz w:val="32"/>
          <w:szCs w:val="32"/>
          <w:lang w:eastAsia="zh-CN"/>
        </w:rPr>
        <w:t>；</w:t>
      </w:r>
      <w:r>
        <w:rPr>
          <w:rFonts w:hint="eastAsia" w:ascii="仿宋_GB2312" w:eastAsia="仿宋_GB2312"/>
          <w:color w:val="auto"/>
          <w:sz w:val="32"/>
          <w:szCs w:val="32"/>
        </w:rPr>
        <w:t>使用200万医院妇幼能力提升资金和1600万抗疫国债资金采购的各类设施设备已陆续安装到位，待院区外排污管网实施即将搬迁并投入使用</w:t>
      </w:r>
      <w:r>
        <w:rPr>
          <w:rFonts w:hint="eastAsia" w:ascii="仿宋_GB2312" w:eastAsia="仿宋_GB2312"/>
          <w:color w:val="auto"/>
          <w:sz w:val="32"/>
          <w:szCs w:val="32"/>
          <w:lang w:eastAsia="zh-CN"/>
        </w:rPr>
        <w:t>，其中投资</w:t>
      </w:r>
      <w:r>
        <w:rPr>
          <w:rFonts w:hint="eastAsia" w:ascii="仿宋_GB2312" w:eastAsia="仿宋_GB2312"/>
          <w:color w:val="auto"/>
          <w:sz w:val="32"/>
          <w:szCs w:val="32"/>
          <w:lang w:val="en-US" w:eastAsia="zh-CN"/>
        </w:rPr>
        <w:t>500万的信息化系统部分软件已上线，正在进行调试和数据对接</w:t>
      </w:r>
      <w:r>
        <w:rPr>
          <w:rFonts w:hint="eastAsia" w:ascii="仿宋_GB2312" w:eastAsia="仿宋_GB2312"/>
          <w:color w:val="auto"/>
          <w:sz w:val="32"/>
          <w:szCs w:val="32"/>
          <w:lang w:eastAsia="zh-CN"/>
        </w:rPr>
        <w:t>。</w:t>
      </w:r>
    </w:p>
    <w:p>
      <w:pPr>
        <w:spacing w:line="540" w:lineRule="exact"/>
        <w:ind w:firstLine="566" w:firstLineChars="177"/>
        <w:rPr>
          <w:rFonts w:ascii="仿宋_GB2312" w:eastAsia="仿宋_GB2312"/>
          <w:color w:val="auto"/>
          <w:sz w:val="32"/>
          <w:szCs w:val="32"/>
        </w:rPr>
      </w:pPr>
      <w:r>
        <w:rPr>
          <w:rFonts w:hint="eastAsia" w:ascii="仿宋_GB2312" w:eastAsia="仿宋_GB2312"/>
          <w:color w:val="auto"/>
          <w:sz w:val="32"/>
          <w:szCs w:val="32"/>
        </w:rPr>
        <w:t>2.在人才培养上，共安排临床医技人员外出参加省市级培训学习</w:t>
      </w:r>
      <w:r>
        <w:rPr>
          <w:rFonts w:hint="eastAsia" w:ascii="仿宋_GB2312" w:eastAsia="仿宋_GB2312"/>
          <w:color w:val="auto"/>
          <w:sz w:val="32"/>
          <w:szCs w:val="32"/>
          <w:lang w:val="en-US" w:eastAsia="zh-CN"/>
        </w:rPr>
        <w:t>63</w:t>
      </w:r>
      <w:r>
        <w:rPr>
          <w:rFonts w:hint="eastAsia" w:ascii="仿宋_GB2312" w:eastAsia="仿宋_GB2312"/>
          <w:color w:val="auto"/>
          <w:sz w:val="32"/>
          <w:szCs w:val="32"/>
        </w:rPr>
        <w:t>人次，其中省级</w:t>
      </w:r>
      <w:r>
        <w:rPr>
          <w:rFonts w:hint="eastAsia" w:ascii="仿宋_GB2312" w:eastAsia="仿宋_GB2312"/>
          <w:color w:val="auto"/>
          <w:sz w:val="32"/>
          <w:szCs w:val="32"/>
          <w:lang w:val="en-US" w:eastAsia="zh-CN"/>
        </w:rPr>
        <w:t>30</w:t>
      </w:r>
      <w:r>
        <w:rPr>
          <w:rFonts w:hint="eastAsia" w:ascii="仿宋_GB2312" w:eastAsia="仿宋_GB2312"/>
          <w:color w:val="auto"/>
          <w:sz w:val="32"/>
          <w:szCs w:val="32"/>
        </w:rPr>
        <w:t>人次、市级</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人次、进修学习</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人次；</w:t>
      </w:r>
      <w:r>
        <w:rPr>
          <w:rFonts w:hint="eastAsia" w:ascii="仿宋_GB2312" w:hAnsi="宋体" w:eastAsia="仿宋_GB2312" w:cs="宋体"/>
          <w:snapToGrid w:val="0"/>
          <w:color w:val="auto"/>
          <w:kern w:val="0"/>
          <w:sz w:val="32"/>
          <w:szCs w:val="32"/>
        </w:rPr>
        <w:t>参加区内继教项目</w:t>
      </w:r>
      <w:r>
        <w:rPr>
          <w:rFonts w:hint="eastAsia" w:ascii="仿宋_GB2312" w:hAnsi="宋体" w:eastAsia="仿宋_GB2312" w:cs="宋体"/>
          <w:snapToGrid w:val="0"/>
          <w:color w:val="auto"/>
          <w:kern w:val="0"/>
          <w:sz w:val="32"/>
          <w:szCs w:val="32"/>
          <w:lang w:val="en-US" w:eastAsia="zh-CN"/>
        </w:rPr>
        <w:t>1</w:t>
      </w:r>
      <w:r>
        <w:rPr>
          <w:rFonts w:hint="eastAsia" w:ascii="仿宋_GB2312" w:hAnsi="宋体" w:eastAsia="仿宋_GB2312" w:cs="宋体"/>
          <w:snapToGrid w:val="0"/>
          <w:color w:val="auto"/>
          <w:kern w:val="0"/>
          <w:sz w:val="32"/>
          <w:szCs w:val="32"/>
        </w:rPr>
        <w:t>40人次；参加院内开展的培训学习</w:t>
      </w:r>
      <w:r>
        <w:rPr>
          <w:rFonts w:hint="eastAsia" w:ascii="仿宋_GB2312" w:hAnsi="宋体" w:eastAsia="仿宋_GB2312" w:cs="宋体"/>
          <w:snapToGrid w:val="0"/>
          <w:color w:val="auto"/>
          <w:kern w:val="0"/>
          <w:sz w:val="32"/>
          <w:szCs w:val="32"/>
          <w:lang w:val="en-US" w:eastAsia="zh-CN"/>
        </w:rPr>
        <w:t>960</w:t>
      </w:r>
      <w:r>
        <w:rPr>
          <w:rFonts w:hint="eastAsia" w:ascii="仿宋_GB2312" w:hAnsi="宋体" w:eastAsia="仿宋_GB2312" w:cs="宋体"/>
          <w:snapToGrid w:val="0"/>
          <w:color w:val="auto"/>
          <w:kern w:val="0"/>
          <w:sz w:val="32"/>
          <w:szCs w:val="32"/>
        </w:rPr>
        <w:t>人次</w:t>
      </w:r>
      <w:r>
        <w:rPr>
          <w:rFonts w:hint="eastAsia" w:ascii="仿宋_GB2312" w:eastAsia="仿宋_GB2312"/>
          <w:color w:val="auto"/>
          <w:sz w:val="32"/>
          <w:szCs w:val="32"/>
        </w:rPr>
        <w:t>。同时，通过调动、自主招聘的方式引进专技人才3人，其中副主任医师1人，中医执业医师1人，中药药剂师1人。</w:t>
      </w:r>
    </w:p>
    <w:p>
      <w:pPr>
        <w:widowControl/>
        <w:shd w:val="clear" w:color="auto" w:fill="FFFFFF"/>
        <w:spacing w:line="540" w:lineRule="exact"/>
        <w:ind w:firstLine="566" w:firstLineChars="177"/>
        <w:jc w:val="left"/>
        <w:rPr>
          <w:rFonts w:ascii="楷体" w:hAnsi="楷体" w:eastAsia="楷体" w:cs="宋体"/>
          <w:color w:val="auto"/>
          <w:kern w:val="0"/>
          <w:sz w:val="32"/>
          <w:szCs w:val="32"/>
        </w:rPr>
      </w:pPr>
      <w:r>
        <w:rPr>
          <w:rFonts w:hint="eastAsia" w:ascii="楷体" w:hAnsi="楷体" w:eastAsia="楷体" w:cs="宋体"/>
          <w:color w:val="auto"/>
          <w:kern w:val="0"/>
          <w:sz w:val="32"/>
          <w:szCs w:val="32"/>
        </w:rPr>
        <w:t>（</w:t>
      </w:r>
      <w:r>
        <w:rPr>
          <w:rFonts w:hint="eastAsia" w:ascii="楷体" w:hAnsi="楷体" w:eastAsia="楷体" w:cs="宋体"/>
          <w:color w:val="auto"/>
          <w:kern w:val="0"/>
          <w:sz w:val="32"/>
          <w:szCs w:val="32"/>
          <w:lang w:eastAsia="zh-CN"/>
        </w:rPr>
        <w:t>三</w:t>
      </w:r>
      <w:r>
        <w:rPr>
          <w:rFonts w:hint="eastAsia" w:ascii="楷体" w:hAnsi="楷体" w:eastAsia="楷体" w:cs="宋体"/>
          <w:color w:val="auto"/>
          <w:kern w:val="0"/>
          <w:sz w:val="32"/>
          <w:szCs w:val="32"/>
        </w:rPr>
        <w:t>）服务能力稳步提升</w:t>
      </w:r>
    </w:p>
    <w:p>
      <w:pPr>
        <w:pStyle w:val="35"/>
        <w:spacing w:line="540" w:lineRule="exact"/>
        <w:ind w:firstLine="566" w:firstLineChars="177"/>
        <w:rPr>
          <w:rFonts w:hint="eastAsia" w:ascii="仿宋_GB2312" w:hAnsi="仿宋_GB2312" w:eastAsia="仿宋_GB2312" w:cs="仿宋_GB2312"/>
          <w:color w:val="auto"/>
          <w:sz w:val="32"/>
          <w:szCs w:val="32"/>
        </w:rPr>
      </w:pPr>
      <w:r>
        <w:rPr>
          <w:rFonts w:hint="eastAsia" w:ascii="仿宋_GB2312" w:hAnsi="ˎ̥" w:eastAsia="仿宋_GB2312"/>
          <w:color w:val="auto"/>
          <w:sz w:val="32"/>
          <w:szCs w:val="32"/>
        </w:rPr>
        <w:t>2021年，中心共开展了10次全院疫情防控培训和3次疫情应急演练</w:t>
      </w:r>
      <w:r>
        <w:rPr>
          <w:rStyle w:val="23"/>
          <w:rFonts w:hint="eastAsia" w:ascii="仿宋_GB2312" w:hAnsi="仿宋" w:eastAsia="仿宋_GB2312" w:cs="仿宋"/>
          <w:b w:val="0"/>
          <w:color w:val="auto"/>
          <w:sz w:val="32"/>
          <w:szCs w:val="32"/>
        </w:rPr>
        <w:t>，开展了医疗质量安全检查</w:t>
      </w:r>
      <w:r>
        <w:rPr>
          <w:rStyle w:val="23"/>
          <w:rFonts w:hint="eastAsia" w:ascii="仿宋_GB2312" w:hAnsi="仿宋" w:eastAsia="仿宋_GB2312" w:cs="仿宋"/>
          <w:b w:val="0"/>
          <w:color w:val="auto"/>
          <w:sz w:val="32"/>
          <w:szCs w:val="32"/>
          <w:lang w:val="en-US" w:eastAsia="zh-CN"/>
        </w:rPr>
        <w:t>12</w:t>
      </w:r>
      <w:r>
        <w:rPr>
          <w:rStyle w:val="23"/>
          <w:rFonts w:hint="eastAsia" w:ascii="仿宋_GB2312" w:hAnsi="仿宋" w:eastAsia="仿宋_GB2312" w:cs="仿宋"/>
          <w:b w:val="0"/>
          <w:color w:val="auto"/>
          <w:sz w:val="32"/>
          <w:szCs w:val="32"/>
        </w:rPr>
        <w:t>次、行政查房</w:t>
      </w:r>
      <w:r>
        <w:rPr>
          <w:rStyle w:val="23"/>
          <w:rFonts w:hint="eastAsia" w:ascii="仿宋_GB2312" w:hAnsi="仿宋" w:eastAsia="仿宋_GB2312" w:cs="仿宋"/>
          <w:b w:val="0"/>
          <w:color w:val="auto"/>
          <w:sz w:val="32"/>
          <w:szCs w:val="32"/>
          <w:lang w:val="en-US" w:eastAsia="zh-CN"/>
        </w:rPr>
        <w:t>11</w:t>
      </w:r>
      <w:r>
        <w:rPr>
          <w:rStyle w:val="23"/>
          <w:rFonts w:hint="eastAsia" w:ascii="仿宋_GB2312" w:hAnsi="仿宋" w:eastAsia="仿宋_GB2312" w:cs="仿宋"/>
          <w:b w:val="0"/>
          <w:color w:val="auto"/>
          <w:sz w:val="32"/>
          <w:szCs w:val="32"/>
        </w:rPr>
        <w:t>次，通过演练、督查、学习相结合，不断提升</w:t>
      </w:r>
      <w:r>
        <w:rPr>
          <w:rFonts w:hint="eastAsia" w:ascii="仿宋_GB2312" w:eastAsia="仿宋_GB2312"/>
          <w:color w:val="auto"/>
          <w:sz w:val="32"/>
          <w:szCs w:val="32"/>
        </w:rPr>
        <w:t>职工综合素质和团队协作能力。同时，按照医院发展和病人需求，</w:t>
      </w:r>
      <w:r>
        <w:rPr>
          <w:rFonts w:hint="eastAsia" w:ascii="仿宋_GB2312" w:eastAsia="仿宋_GB2312"/>
          <w:color w:val="auto"/>
          <w:sz w:val="32"/>
          <w:szCs w:val="32"/>
          <w:lang w:eastAsia="zh-CN"/>
        </w:rPr>
        <w:t>医院新开展了中医科项目，</w:t>
      </w:r>
      <w:r>
        <w:rPr>
          <w:rFonts w:hint="eastAsia" w:ascii="仿宋_GB2312" w:eastAsia="仿宋_GB2312"/>
          <w:color w:val="auto"/>
          <w:sz w:val="32"/>
          <w:szCs w:val="32"/>
        </w:rPr>
        <w:t>妇产科新</w:t>
      </w:r>
      <w:r>
        <w:rPr>
          <w:rFonts w:hint="eastAsia" w:ascii="仿宋_GB2312" w:eastAsia="仿宋_GB2312"/>
          <w:color w:val="auto"/>
          <w:sz w:val="32"/>
          <w:szCs w:val="32"/>
          <w:lang w:eastAsia="zh-CN"/>
        </w:rPr>
        <w:t>拓</w:t>
      </w:r>
      <w:r>
        <w:rPr>
          <w:rFonts w:hint="eastAsia" w:ascii="仿宋_GB2312" w:eastAsia="仿宋_GB2312"/>
          <w:color w:val="auto"/>
          <w:sz w:val="32"/>
          <w:szCs w:val="32"/>
        </w:rPr>
        <w:t>展了熏蒸治疗和新式经阴道子宫全切除术业务，检验室新拓展了</w:t>
      </w:r>
      <w:r>
        <w:rPr>
          <w:rFonts w:hint="eastAsia" w:ascii="仿宋_GB2312" w:hAnsi="宋体" w:eastAsia="仿宋_GB2312" w:cs="宋体"/>
          <w:color w:val="auto"/>
          <w:kern w:val="0"/>
          <w:sz w:val="32"/>
          <w:szCs w:val="32"/>
        </w:rPr>
        <w:t>B族链球菌鉴定培养、细菌性阴道病检测检验项目，儿保科新</w:t>
      </w:r>
      <w:r>
        <w:rPr>
          <w:rFonts w:hint="eastAsia" w:ascii="仿宋_GB2312" w:eastAsia="仿宋_GB2312"/>
          <w:color w:val="auto"/>
          <w:sz w:val="32"/>
          <w:szCs w:val="32"/>
        </w:rPr>
        <w:t>拓展了</w:t>
      </w:r>
      <w:r>
        <w:rPr>
          <w:rFonts w:hint="eastAsia" w:ascii="仿宋_GB2312" w:hAnsi="仿宋GB2312" w:eastAsia="仿宋_GB2312" w:cs="仿宋GB2312"/>
          <w:bCs/>
          <w:color w:val="auto"/>
          <w:sz w:val="32"/>
          <w:szCs w:val="32"/>
        </w:rPr>
        <w:t>口腔龋易感检测项目，手术室新拓展了</w:t>
      </w:r>
      <w:r>
        <w:rPr>
          <w:rFonts w:hint="eastAsia" w:ascii="仿宋_GB2312" w:hAnsi="仿宋_GB2312" w:eastAsia="仿宋_GB2312" w:cs="仿宋_GB2312"/>
          <w:color w:val="auto"/>
          <w:sz w:val="32"/>
          <w:szCs w:val="32"/>
        </w:rPr>
        <w:t>导乐镇痛服务项目</w:t>
      </w:r>
      <w:r>
        <w:rPr>
          <w:rFonts w:hint="eastAsia" w:ascii="仿宋_GB2312" w:hAnsi="仿宋GB2312" w:eastAsia="仿宋_GB2312" w:cs="仿宋GB2312"/>
          <w:bCs/>
          <w:color w:val="auto"/>
          <w:sz w:val="32"/>
          <w:szCs w:val="32"/>
        </w:rPr>
        <w:t>，服务范围、服务能力和服务质量整体上升。但受疫情影响，</w:t>
      </w:r>
      <w:r>
        <w:rPr>
          <w:rFonts w:hint="eastAsia" w:ascii="仿宋_GB2312" w:hAnsi="仿宋_GB2312" w:eastAsia="仿宋_GB2312" w:cs="仿宋_GB2312"/>
          <w:color w:val="auto"/>
          <w:sz w:val="32"/>
          <w:szCs w:val="32"/>
        </w:rPr>
        <w:t>医院业务总收入</w:t>
      </w:r>
      <w:r>
        <w:rPr>
          <w:rFonts w:hint="eastAsia" w:ascii="仿宋_GB2312" w:hAnsi="仿宋_GB2312" w:eastAsia="仿宋_GB2312" w:cs="仿宋_GB2312"/>
          <w:color w:val="auto"/>
          <w:sz w:val="32"/>
          <w:szCs w:val="32"/>
          <w:lang w:val="en-US" w:eastAsia="zh-CN"/>
        </w:rPr>
        <w:t>875.68</w:t>
      </w:r>
      <w:r>
        <w:rPr>
          <w:rFonts w:hint="eastAsia" w:ascii="仿宋_GB2312" w:hAnsi="仿宋_GB2312" w:eastAsia="仿宋_GB2312" w:cs="仿宋_GB2312"/>
          <w:color w:val="auto"/>
          <w:sz w:val="32"/>
          <w:szCs w:val="32"/>
        </w:rPr>
        <w:t>万元，较2020年同比减少</w:t>
      </w:r>
      <w:r>
        <w:rPr>
          <w:rFonts w:hint="eastAsia" w:ascii="仿宋_GB2312" w:hAnsi="仿宋_GB2312" w:eastAsia="仿宋_GB2312" w:cs="仿宋_GB2312"/>
          <w:color w:val="auto"/>
          <w:sz w:val="32"/>
          <w:szCs w:val="32"/>
          <w:lang w:val="en-US" w:eastAsia="zh-CN"/>
        </w:rPr>
        <w:t>42.17</w:t>
      </w:r>
      <w:r>
        <w:rPr>
          <w:rFonts w:hint="eastAsia" w:ascii="仿宋_GB2312" w:hAnsi="仿宋_GB2312" w:eastAsia="仿宋_GB2312" w:cs="仿宋_GB2312"/>
          <w:color w:val="auto"/>
          <w:sz w:val="32"/>
          <w:szCs w:val="32"/>
        </w:rPr>
        <w:t>万元，减幅</w:t>
      </w:r>
      <w:r>
        <w:rPr>
          <w:rFonts w:hint="eastAsia" w:ascii="仿宋_GB2312" w:hAnsi="仿宋_GB2312" w:eastAsia="仿宋_GB2312" w:cs="仿宋_GB2312"/>
          <w:color w:val="auto"/>
          <w:sz w:val="32"/>
          <w:szCs w:val="32"/>
          <w:lang w:val="en-US" w:eastAsia="zh-CN"/>
        </w:rPr>
        <w:t>4.59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其中：门诊病人31911人次，较2020年同期增加4877人次</w:t>
      </w:r>
      <w:r>
        <w:rPr>
          <w:rFonts w:hint="eastAsia" w:ascii="仿宋_GB2312" w:hAnsi="仿宋_GB2312" w:eastAsia="仿宋_GB2312" w:cs="仿宋_GB2312"/>
          <w:color w:val="FF0000"/>
          <w:sz w:val="32"/>
          <w:szCs w:val="32"/>
          <w:lang w:val="en-US" w:eastAsia="zh-CN"/>
        </w:rPr>
        <w:t>，</w:t>
      </w:r>
      <w:r>
        <w:rPr>
          <w:rFonts w:hint="eastAsia" w:ascii="仿宋_GB2312" w:hAnsi="仿宋_GB2312" w:eastAsia="仿宋_GB2312" w:cs="仿宋_GB2312"/>
          <w:color w:val="auto"/>
          <w:sz w:val="32"/>
          <w:szCs w:val="32"/>
        </w:rPr>
        <w:t>门诊业务收入</w:t>
      </w:r>
      <w:r>
        <w:rPr>
          <w:rFonts w:hint="eastAsia" w:ascii="仿宋_GB2312" w:hAnsi="仿宋_GB2312" w:eastAsia="仿宋_GB2312" w:cs="仿宋_GB2312"/>
          <w:color w:val="auto"/>
          <w:sz w:val="32"/>
          <w:szCs w:val="32"/>
          <w:lang w:val="en-US" w:eastAsia="zh-CN"/>
        </w:rPr>
        <w:t>616.24</w:t>
      </w:r>
      <w:r>
        <w:rPr>
          <w:rFonts w:hint="eastAsia" w:ascii="仿宋_GB2312" w:hAnsi="仿宋_GB2312" w:eastAsia="仿宋_GB2312" w:cs="仿宋_GB2312"/>
          <w:color w:val="auto"/>
          <w:sz w:val="32"/>
          <w:szCs w:val="32"/>
        </w:rPr>
        <w:t>万元,较2020年同期</w:t>
      </w:r>
      <w:r>
        <w:rPr>
          <w:rFonts w:hint="eastAsia" w:ascii="仿宋_GB2312" w:hAnsi="仿宋_GB2312" w:eastAsia="仿宋_GB2312" w:cs="仿宋_GB2312"/>
          <w:color w:val="auto"/>
          <w:sz w:val="32"/>
          <w:szCs w:val="32"/>
          <w:lang w:eastAsia="zh-CN"/>
        </w:rPr>
        <w:t>下降</w:t>
      </w:r>
      <w:r>
        <w:rPr>
          <w:rFonts w:hint="eastAsia" w:ascii="仿宋_GB2312" w:hAnsi="仿宋_GB2312" w:eastAsia="仿宋_GB2312" w:cs="仿宋_GB2312"/>
          <w:color w:val="auto"/>
          <w:sz w:val="32"/>
          <w:szCs w:val="32"/>
          <w:lang w:val="en-US" w:eastAsia="zh-CN"/>
        </w:rPr>
        <w:t>5.05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降</w:t>
      </w:r>
      <w:r>
        <w:rPr>
          <w:rFonts w:hint="eastAsia" w:ascii="仿宋_GB2312" w:hAnsi="仿宋_GB2312" w:eastAsia="仿宋_GB2312" w:cs="仿宋_GB2312"/>
          <w:color w:val="auto"/>
          <w:sz w:val="32"/>
          <w:szCs w:val="32"/>
        </w:rPr>
        <w:t>幅</w:t>
      </w:r>
      <w:r>
        <w:rPr>
          <w:rFonts w:hint="eastAsia" w:ascii="仿宋_GB2312" w:hAnsi="仿宋_GB2312" w:eastAsia="仿宋_GB2312" w:cs="仿宋_GB2312"/>
          <w:color w:val="auto"/>
          <w:sz w:val="32"/>
          <w:szCs w:val="32"/>
          <w:lang w:val="en-US" w:eastAsia="zh-CN"/>
        </w:rPr>
        <w:t>0.81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住院病人762人次，较2020年同期减少149人次，</w:t>
      </w:r>
      <w:r>
        <w:rPr>
          <w:rFonts w:hint="eastAsia" w:ascii="仿宋_GB2312" w:hAnsi="仿宋_GB2312" w:eastAsia="仿宋_GB2312" w:cs="仿宋_GB2312"/>
          <w:color w:val="auto"/>
          <w:sz w:val="32"/>
          <w:szCs w:val="32"/>
        </w:rPr>
        <w:t>住院业务收入</w:t>
      </w:r>
      <w:r>
        <w:rPr>
          <w:rFonts w:hint="eastAsia" w:ascii="仿宋_GB2312" w:hAnsi="仿宋_GB2312" w:eastAsia="仿宋_GB2312" w:cs="仿宋_GB2312"/>
          <w:color w:val="auto"/>
          <w:sz w:val="32"/>
          <w:szCs w:val="32"/>
          <w:lang w:val="en-US" w:eastAsia="zh-CN"/>
        </w:rPr>
        <w:t>259.44</w:t>
      </w:r>
      <w:r>
        <w:rPr>
          <w:rFonts w:hint="eastAsia" w:ascii="仿宋_GB2312" w:hAnsi="仿宋_GB2312" w:eastAsia="仿宋_GB2312" w:cs="仿宋_GB2312"/>
          <w:color w:val="auto"/>
          <w:sz w:val="32"/>
          <w:szCs w:val="32"/>
        </w:rPr>
        <w:t>万元，较2020年同期减少37.</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万，降幅达</w:t>
      </w:r>
      <w:r>
        <w:rPr>
          <w:rFonts w:hint="eastAsia" w:ascii="仿宋_GB2312" w:hAnsi="仿宋_GB2312" w:eastAsia="仿宋_GB2312" w:cs="仿宋_GB2312"/>
          <w:color w:val="auto"/>
          <w:sz w:val="32"/>
          <w:szCs w:val="32"/>
          <w:lang w:val="en-US" w:eastAsia="zh-CN"/>
        </w:rPr>
        <w:t>12.52</w:t>
      </w:r>
      <w:r>
        <w:rPr>
          <w:rFonts w:hint="eastAsia" w:ascii="仿宋_GB2312" w:hAnsi="仿宋_GB2312" w:eastAsia="仿宋_GB2312" w:cs="仿宋_GB2312"/>
          <w:color w:val="auto"/>
          <w:sz w:val="32"/>
          <w:szCs w:val="32"/>
        </w:rPr>
        <w:t>%。无一例严重差错事故发生。</w:t>
      </w:r>
    </w:p>
    <w:p>
      <w:pPr>
        <w:spacing w:line="540" w:lineRule="exact"/>
        <w:ind w:firstLine="566" w:firstLineChars="177"/>
        <w:rPr>
          <w:rFonts w:ascii="楷体" w:hAnsi="楷体" w:eastAsia="楷体"/>
          <w:color w:val="auto"/>
          <w:sz w:val="32"/>
          <w:szCs w:val="32"/>
        </w:rPr>
      </w:pPr>
      <w:r>
        <w:rPr>
          <w:rFonts w:hint="eastAsia" w:ascii="楷体" w:hAnsi="楷体" w:eastAsia="楷体" w:cs="宋体"/>
          <w:color w:val="auto"/>
          <w:kern w:val="0"/>
          <w:sz w:val="32"/>
          <w:szCs w:val="32"/>
        </w:rPr>
        <w:t>（</w:t>
      </w:r>
      <w:r>
        <w:rPr>
          <w:rFonts w:hint="eastAsia" w:ascii="楷体" w:hAnsi="楷体" w:eastAsia="楷体" w:cs="宋体"/>
          <w:color w:val="auto"/>
          <w:kern w:val="0"/>
          <w:sz w:val="32"/>
          <w:szCs w:val="32"/>
          <w:lang w:eastAsia="zh-CN"/>
        </w:rPr>
        <w:t>四</w:t>
      </w:r>
      <w:r>
        <w:rPr>
          <w:rFonts w:hint="eastAsia" w:ascii="楷体" w:hAnsi="楷体" w:eastAsia="楷体" w:cs="宋体"/>
          <w:color w:val="auto"/>
          <w:kern w:val="0"/>
          <w:sz w:val="32"/>
          <w:szCs w:val="32"/>
        </w:rPr>
        <w:t>）</w:t>
      </w:r>
      <w:r>
        <w:rPr>
          <w:rFonts w:hint="eastAsia" w:ascii="楷体" w:hAnsi="楷体" w:eastAsia="楷体"/>
          <w:color w:val="auto"/>
          <w:sz w:val="32"/>
          <w:szCs w:val="32"/>
        </w:rPr>
        <w:t>基建项目渐进实施</w:t>
      </w:r>
    </w:p>
    <w:p>
      <w:pPr>
        <w:spacing w:line="540" w:lineRule="exact"/>
        <w:ind w:firstLine="566" w:firstLineChars="177"/>
        <w:rPr>
          <w:rFonts w:ascii="仿宋_GB2312" w:eastAsia="仿宋_GB2312"/>
          <w:color w:val="auto"/>
          <w:sz w:val="32"/>
          <w:szCs w:val="32"/>
        </w:rPr>
      </w:pPr>
      <w:r>
        <w:rPr>
          <w:rFonts w:hint="eastAsia" w:ascii="仿宋_GB2312" w:hAnsi="ˎ̥" w:eastAsia="仿宋_GB2312"/>
          <w:color w:val="auto"/>
          <w:sz w:val="32"/>
          <w:szCs w:val="32"/>
        </w:rPr>
        <w:t>乐山市沙湾区妇幼保健计划生育服务中心业务综合楼建设项目完成结算审计</w:t>
      </w:r>
      <w:r>
        <w:rPr>
          <w:rFonts w:hint="eastAsia" w:ascii="仿宋_GB2312" w:hAnsi="ˎ̥" w:eastAsia="仿宋_GB2312"/>
          <w:color w:val="auto"/>
          <w:sz w:val="32"/>
          <w:szCs w:val="32"/>
          <w:lang w:eastAsia="zh-CN"/>
        </w:rPr>
        <w:t>工作</w:t>
      </w:r>
      <w:r>
        <w:rPr>
          <w:rFonts w:hint="eastAsia" w:ascii="仿宋_GB2312" w:hAnsi="ˎ̥" w:eastAsia="仿宋_GB2312"/>
          <w:color w:val="auto"/>
          <w:sz w:val="32"/>
          <w:szCs w:val="32"/>
        </w:rPr>
        <w:t>，预计2022年</w:t>
      </w:r>
      <w:r>
        <w:rPr>
          <w:rFonts w:hint="eastAsia" w:ascii="仿宋_GB2312" w:hAnsi="ˎ̥" w:eastAsia="仿宋_GB2312"/>
          <w:color w:val="auto"/>
          <w:sz w:val="32"/>
          <w:szCs w:val="32"/>
          <w:lang w:val="en-US" w:eastAsia="zh-CN"/>
        </w:rPr>
        <w:t>6</w:t>
      </w:r>
      <w:r>
        <w:rPr>
          <w:rFonts w:hint="eastAsia" w:ascii="仿宋_GB2312" w:hAnsi="ˎ̥" w:eastAsia="仿宋_GB2312"/>
          <w:color w:val="auto"/>
          <w:sz w:val="32"/>
          <w:szCs w:val="32"/>
        </w:rPr>
        <w:t>月可搬迁；</w:t>
      </w:r>
      <w:r>
        <w:rPr>
          <w:rFonts w:hint="eastAsia" w:ascii="仿宋_GB2312" w:eastAsia="仿宋_GB2312"/>
          <w:color w:val="auto"/>
          <w:sz w:val="32"/>
          <w:szCs w:val="32"/>
        </w:rPr>
        <w:t>二期保健综合楼建设项目已完成施工招标和监理招标前期准备，资金到位即可展开招标工作。</w:t>
      </w:r>
    </w:p>
    <w:p>
      <w:pPr>
        <w:spacing w:line="540" w:lineRule="exact"/>
        <w:ind w:firstLine="566" w:firstLineChars="177"/>
        <w:rPr>
          <w:rFonts w:ascii="楷体" w:hAnsi="楷体" w:eastAsia="楷体"/>
          <w:color w:val="auto"/>
          <w:sz w:val="32"/>
          <w:szCs w:val="32"/>
        </w:rPr>
      </w:pPr>
      <w:r>
        <w:rPr>
          <w:rFonts w:hint="eastAsia" w:ascii="楷体" w:hAnsi="楷体" w:eastAsia="楷体"/>
          <w:color w:val="auto"/>
          <w:sz w:val="32"/>
          <w:szCs w:val="32"/>
        </w:rPr>
        <w:t>（</w:t>
      </w:r>
      <w:r>
        <w:rPr>
          <w:rFonts w:hint="eastAsia" w:ascii="楷体" w:hAnsi="楷体" w:eastAsia="楷体"/>
          <w:color w:val="auto"/>
          <w:sz w:val="32"/>
          <w:szCs w:val="32"/>
          <w:lang w:eastAsia="zh-CN"/>
        </w:rPr>
        <w:t>五</w:t>
      </w:r>
      <w:r>
        <w:rPr>
          <w:rFonts w:hint="eastAsia" w:ascii="楷体" w:hAnsi="楷体" w:eastAsia="楷体"/>
          <w:color w:val="auto"/>
          <w:sz w:val="32"/>
          <w:szCs w:val="32"/>
        </w:rPr>
        <w:t>）健康扶贫成效明显</w:t>
      </w:r>
    </w:p>
    <w:p>
      <w:pPr>
        <w:spacing w:line="540" w:lineRule="exact"/>
        <w:ind w:firstLine="566" w:firstLineChars="177"/>
        <w:rPr>
          <w:rFonts w:hint="eastAsia" w:ascii="仿宋_GB2312" w:hAnsi="ˎ̥" w:eastAsia="仿宋_GB2312"/>
          <w:color w:val="auto"/>
          <w:sz w:val="32"/>
          <w:szCs w:val="32"/>
        </w:rPr>
      </w:pPr>
      <w:r>
        <w:rPr>
          <w:rFonts w:hint="eastAsia" w:ascii="仿宋_GB2312" w:eastAsia="仿宋_GB2312"/>
          <w:color w:val="auto"/>
          <w:sz w:val="32"/>
          <w:szCs w:val="32"/>
        </w:rPr>
        <w:t>一是为太平镇4户精准贫困户累计提供尿素、复合肥、菜仔油、牛奶、棉被等生产生活物资价值3000余元，帮助贫困户助耕生产</w:t>
      </w:r>
      <w:r>
        <w:rPr>
          <w:rFonts w:hint="eastAsia" w:ascii="仿宋_GB2312" w:hAnsi="仿宋_GB2312" w:eastAsia="仿宋_GB2312" w:cs="仿宋_GB2312"/>
          <w:color w:val="auto"/>
          <w:sz w:val="32"/>
          <w:szCs w:val="32"/>
        </w:rPr>
        <w:t>；二是积极贯彻落实贫困人口“十免四补助”和“先诊疗后结算”政策。</w:t>
      </w:r>
      <w:r>
        <w:rPr>
          <w:rFonts w:hint="eastAsia" w:ascii="仿宋_GB2312" w:hAnsi="仿宋_GB2312" w:eastAsia="仿宋_GB2312" w:cs="仿宋_GB2312"/>
          <w:color w:val="auto"/>
          <w:sz w:val="32"/>
          <w:szCs w:val="32"/>
          <w:lang w:val="en-US" w:eastAsia="zh-CN"/>
        </w:rPr>
        <w:t>全年共有11名贫困孕产妇和妇科病人在我院接受住院诊治，减免资金19429.30元；有291名贫困人员接受门诊治疗，减免挂号费及诊疗费共计873元</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三是</w:t>
      </w:r>
      <w:r>
        <w:rPr>
          <w:rFonts w:hint="eastAsia" w:ascii="仿宋_GB2312" w:hAnsi="ˎ̥" w:eastAsia="仿宋_GB2312"/>
          <w:color w:val="auto"/>
          <w:sz w:val="32"/>
          <w:szCs w:val="32"/>
        </w:rPr>
        <w:t>落实了1名副高职称专技人员驻点支援金口河区妇保院，同时安排了1名金口河区妇保院医务人员到中心跟班学习医务管理，医院承担其所有住宿、生活费用共计3000余元。</w:t>
      </w:r>
    </w:p>
    <w:p>
      <w:pPr>
        <w:spacing w:line="540" w:lineRule="exact"/>
        <w:ind w:firstLine="566" w:firstLineChars="177"/>
        <w:rPr>
          <w:rFonts w:ascii="楷体" w:hAnsi="楷体" w:eastAsia="楷体"/>
          <w:color w:val="auto"/>
          <w:sz w:val="32"/>
          <w:szCs w:val="32"/>
        </w:rPr>
      </w:pPr>
      <w:r>
        <w:rPr>
          <w:rFonts w:hint="eastAsia" w:ascii="楷体" w:hAnsi="楷体" w:eastAsia="楷体"/>
          <w:color w:val="auto"/>
          <w:sz w:val="32"/>
          <w:szCs w:val="32"/>
        </w:rPr>
        <w:t>（</w:t>
      </w:r>
      <w:r>
        <w:rPr>
          <w:rFonts w:hint="eastAsia" w:ascii="楷体" w:hAnsi="楷体" w:eastAsia="楷体"/>
          <w:color w:val="auto"/>
          <w:sz w:val="32"/>
          <w:szCs w:val="32"/>
          <w:lang w:eastAsia="zh-CN"/>
        </w:rPr>
        <w:t>六</w:t>
      </w:r>
      <w:r>
        <w:rPr>
          <w:rFonts w:hint="eastAsia" w:ascii="楷体" w:hAnsi="楷体" w:eastAsia="楷体"/>
          <w:color w:val="auto"/>
          <w:sz w:val="32"/>
          <w:szCs w:val="32"/>
        </w:rPr>
        <w:t>）疫情防控不断夯实</w:t>
      </w:r>
    </w:p>
    <w:p>
      <w:pPr>
        <w:spacing w:line="540" w:lineRule="exact"/>
        <w:ind w:firstLine="566" w:firstLineChars="177"/>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一年来，在汽车站、火车站两个监测点进行体温监测</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000余人次，院内预检分诊监测</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0000余人次，参加全区新冠疫苗接种医疗保障</w:t>
      </w:r>
      <w:r>
        <w:rPr>
          <w:rFonts w:hint="eastAsia" w:ascii="仿宋_GB2312" w:hAnsi="仿宋_GB2312" w:eastAsia="仿宋_GB2312" w:cs="仿宋_GB2312"/>
          <w:color w:val="auto"/>
          <w:sz w:val="32"/>
          <w:szCs w:val="32"/>
          <w:lang w:val="en-US" w:eastAsia="zh-CN"/>
        </w:rPr>
        <w:t>43</w:t>
      </w:r>
      <w:r>
        <w:rPr>
          <w:rFonts w:hint="eastAsia" w:ascii="仿宋_GB2312" w:hAnsi="仿宋_GB2312" w:eastAsia="仿宋_GB2312" w:cs="仿宋_GB2312"/>
          <w:color w:val="auto"/>
          <w:sz w:val="32"/>
          <w:szCs w:val="32"/>
        </w:rPr>
        <w:t>人次，开展了</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次全院疫情防控培训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次疫情应急演练</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lang w:val="en-US" w:eastAsia="zh-CN"/>
        </w:rPr>
        <w:t>5次院感知识培训</w:t>
      </w:r>
      <w:r>
        <w:rPr>
          <w:rFonts w:hint="eastAsia" w:ascii="仿宋_GB2312" w:hAnsi="仿宋_GB2312" w:eastAsia="仿宋_GB2312" w:cs="仿宋_GB2312"/>
          <w:color w:val="auto"/>
          <w:sz w:val="32"/>
          <w:szCs w:val="32"/>
        </w:rPr>
        <w:t>。累计投入防控资金</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万余元搭建了板房、采购了防疫物资、完善了预检分诊信息系统，增强疫情防控能力。</w:t>
      </w:r>
    </w:p>
    <w:p>
      <w:pPr>
        <w:pStyle w:val="2"/>
        <w:ind w:right="440"/>
        <w:jc w:val="center"/>
        <w:rPr>
          <w:rStyle w:val="36"/>
          <w:rFonts w:ascii="黑体" w:hAnsi="黑体" w:eastAsia="黑体"/>
          <w:b w:val="0"/>
          <w:bCs/>
          <w:color w:val="auto"/>
          <w:highlight w:val="none"/>
        </w:rPr>
      </w:pPr>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2021年度</w:t>
      </w:r>
      <w:r>
        <w:rPr>
          <w:rStyle w:val="36"/>
          <w:rFonts w:hint="eastAsia" w:ascii="黑体" w:hAnsi="黑体" w:eastAsia="黑体"/>
          <w:b w:val="0"/>
          <w:bCs/>
          <w:color w:val="auto"/>
          <w:highlight w:val="none"/>
          <w:lang w:eastAsia="zh-CN"/>
        </w:rPr>
        <w:t>单位</w:t>
      </w:r>
      <w:r>
        <w:rPr>
          <w:rStyle w:val="36"/>
          <w:rFonts w:hint="eastAsia" w:ascii="黑体" w:hAnsi="黑体" w:eastAsia="黑体"/>
          <w:b w:val="0"/>
          <w:bCs/>
          <w:color w:val="auto"/>
          <w:highlight w:val="none"/>
        </w:rPr>
        <w:t>决算情况说明</w:t>
      </w:r>
      <w:bookmarkEnd w:id="21"/>
      <w:bookmarkEnd w:id="22"/>
      <w:bookmarkEnd w:id="23"/>
    </w:p>
    <w:p>
      <w:pPr>
        <w:rPr>
          <w:color w:val="auto"/>
          <w:highlight w:val="none"/>
        </w:rPr>
      </w:pPr>
    </w:p>
    <w:p>
      <w:pPr>
        <w:pStyle w:val="35"/>
        <w:numPr>
          <w:ilvl w:val="0"/>
          <w:numId w:val="3"/>
        </w:numPr>
        <w:spacing w:line="600" w:lineRule="exact"/>
        <w:ind w:firstLineChars="0"/>
        <w:outlineLvl w:val="1"/>
        <w:rPr>
          <w:rStyle w:val="37"/>
          <w:rFonts w:ascii="黑体" w:hAnsi="黑体" w:eastAsia="黑体"/>
          <w:b w:val="0"/>
          <w:color w:val="auto"/>
          <w:highlight w:val="none"/>
        </w:rPr>
      </w:pPr>
      <w:bookmarkStart w:id="24" w:name="_Toc15396603"/>
      <w:bookmarkStart w:id="25" w:name="_Toc15377205"/>
      <w:bookmarkStart w:id="26" w:name="_Toc951"/>
      <w:r>
        <w:rPr>
          <w:rFonts w:hint="eastAsia" w:ascii="黑体" w:hAnsi="黑体" w:eastAsia="黑体"/>
          <w:color w:val="auto"/>
          <w:sz w:val="32"/>
          <w:szCs w:val="32"/>
          <w:highlight w:val="none"/>
        </w:rPr>
        <w:t>收</w:t>
      </w:r>
      <w:r>
        <w:rPr>
          <w:rStyle w:val="37"/>
          <w:rFonts w:hint="eastAsia" w:ascii="黑体" w:hAnsi="黑体" w:eastAsia="黑体"/>
          <w:b w:val="0"/>
          <w:color w:val="auto"/>
          <w:highlight w:val="none"/>
        </w:rPr>
        <w:t>入支出决算总体情况说明</w:t>
      </w:r>
      <w:bookmarkEnd w:id="24"/>
      <w:bookmarkEnd w:id="25"/>
      <w:bookmarkEnd w:id="26"/>
    </w:p>
    <w:p>
      <w:pPr>
        <w:spacing w:line="600" w:lineRule="exact"/>
        <w:ind w:firstLine="640" w:firstLineChars="20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年度收入总计</w:t>
      </w:r>
      <w:r>
        <w:rPr>
          <w:rFonts w:hint="eastAsia" w:ascii="仿宋" w:hAnsi="仿宋" w:eastAsia="仿宋"/>
          <w:color w:val="auto"/>
          <w:sz w:val="32"/>
          <w:szCs w:val="32"/>
          <w:highlight w:val="none"/>
          <w:lang w:val="en-US" w:eastAsia="zh-CN"/>
        </w:rPr>
        <w:t>979.04</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979.04</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年相比，收入总计</w:t>
      </w:r>
      <w:r>
        <w:rPr>
          <w:rFonts w:hint="eastAsia" w:ascii="仿宋" w:hAnsi="仿宋" w:eastAsia="仿宋"/>
          <w:color w:val="auto"/>
          <w:sz w:val="32"/>
          <w:szCs w:val="32"/>
          <w:highlight w:val="none"/>
          <w:lang w:val="en-US" w:eastAsia="zh-CN"/>
        </w:rPr>
        <w:t>减少610.27</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下降38.40</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减少610.27</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下降38.40</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本年项目减少。</w:t>
      </w:r>
    </w:p>
    <w:p>
      <w:pPr>
        <w:pStyle w:val="6"/>
        <w:jc w:val="center"/>
        <w:rPr>
          <w:rFonts w:hint="eastAsia" w:eastAsia="宋体"/>
          <w:lang w:eastAsia="zh-CN"/>
        </w:rPr>
      </w:pPr>
      <w:r>
        <w:rPr>
          <w:rFonts w:hint="eastAsia" w:eastAsia="宋体"/>
          <w:lang w:eastAsia="zh-CN"/>
        </w:rPr>
        <w:drawing>
          <wp:inline distT="0" distB="0" distL="114300" distR="114300">
            <wp:extent cx="5080000" cy="3810000"/>
            <wp:effectExtent l="4445" t="4445" r="20955" b="14605"/>
            <wp:docPr id="2" name="图表 2" descr="7b0a202020202263686172745265734964223a202232303437313133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w:t>
      </w:r>
    </w:p>
    <w:p>
      <w:pPr>
        <w:pStyle w:val="6"/>
      </w:pPr>
    </w:p>
    <w:p>
      <w:pPr>
        <w:pStyle w:val="35"/>
        <w:numPr>
          <w:ilvl w:val="0"/>
          <w:numId w:val="3"/>
        </w:numPr>
        <w:spacing w:line="600" w:lineRule="exact"/>
        <w:ind w:firstLineChars="0"/>
        <w:outlineLvl w:val="1"/>
        <w:rPr>
          <w:rStyle w:val="37"/>
          <w:rFonts w:ascii="黑体" w:hAnsi="黑体" w:eastAsia="黑体"/>
          <w:b w:val="0"/>
          <w:color w:val="auto"/>
          <w:highlight w:val="none"/>
        </w:rPr>
      </w:pPr>
      <w:bookmarkStart w:id="27" w:name="_Toc7480"/>
      <w:bookmarkStart w:id="28" w:name="_Toc15396604"/>
      <w:bookmarkStart w:id="29" w:name="_Toc15377206"/>
      <w:r>
        <w:rPr>
          <w:rFonts w:hint="eastAsia" w:ascii="黑体" w:hAnsi="黑体" w:eastAsia="黑体"/>
          <w:color w:val="auto"/>
          <w:sz w:val="32"/>
          <w:szCs w:val="32"/>
          <w:highlight w:val="none"/>
        </w:rPr>
        <w:t>收</w:t>
      </w:r>
      <w:r>
        <w:rPr>
          <w:rStyle w:val="37"/>
          <w:rFonts w:hint="eastAsia" w:ascii="黑体" w:hAnsi="黑体" w:eastAsia="黑体"/>
          <w:b w:val="0"/>
          <w:color w:val="auto"/>
          <w:highlight w:val="none"/>
        </w:rPr>
        <w:t>入决算情况说明</w:t>
      </w:r>
      <w:bookmarkEnd w:id="27"/>
      <w:bookmarkEnd w:id="28"/>
      <w:bookmarkEnd w:id="29"/>
    </w:p>
    <w:p>
      <w:pPr>
        <w:spacing w:line="600" w:lineRule="exact"/>
        <w:ind w:firstLine="640" w:firstLineChars="200"/>
        <w:outlineLvl w:val="1"/>
        <w:rPr>
          <w:rFonts w:ascii="仿宋" w:hAnsi="仿宋" w:eastAsia="仿宋"/>
          <w:color w:val="auto"/>
          <w:sz w:val="32"/>
          <w:szCs w:val="32"/>
          <w:highlight w:val="none"/>
        </w:rPr>
      </w:pPr>
      <w:bookmarkStart w:id="30" w:name="_Toc23881"/>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年本年收入合计</w:t>
      </w:r>
      <w:r>
        <w:rPr>
          <w:rFonts w:hint="eastAsia" w:ascii="仿宋" w:hAnsi="仿宋" w:eastAsia="仿宋"/>
          <w:color w:val="auto"/>
          <w:sz w:val="32"/>
          <w:szCs w:val="32"/>
          <w:highlight w:val="none"/>
          <w:lang w:val="en-US" w:eastAsia="zh-CN"/>
        </w:rPr>
        <w:t>471.57</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471.57</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100.00</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bookmarkEnd w:id="30"/>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outlineLvl w:val="9"/>
        <w:rPr>
          <w:rFonts w:hint="eastAsia"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5080000" cy="4195445"/>
            <wp:effectExtent l="4445" t="4445" r="20955" b="10160"/>
            <wp:docPr id="3" name="图表 3"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图2：收入决算结构图</w:t>
      </w:r>
    </w:p>
    <w:p>
      <w:pPr>
        <w:pStyle w:val="6"/>
      </w:pPr>
    </w:p>
    <w:p>
      <w:pPr>
        <w:pStyle w:val="35"/>
        <w:numPr>
          <w:ilvl w:val="0"/>
          <w:numId w:val="3"/>
        </w:numPr>
        <w:spacing w:line="600" w:lineRule="exact"/>
        <w:ind w:firstLineChars="0"/>
        <w:outlineLvl w:val="1"/>
        <w:rPr>
          <w:rStyle w:val="37"/>
          <w:rFonts w:ascii="黑体" w:hAnsi="黑体" w:eastAsia="黑体"/>
          <w:b w:val="0"/>
          <w:color w:val="auto"/>
          <w:highlight w:val="none"/>
        </w:rPr>
      </w:pPr>
      <w:bookmarkStart w:id="31" w:name="_Toc15396605"/>
      <w:bookmarkStart w:id="32" w:name="_Toc9606"/>
      <w:bookmarkStart w:id="33" w:name="_Toc15377207"/>
      <w:r>
        <w:rPr>
          <w:rFonts w:hint="eastAsia" w:ascii="黑体" w:hAnsi="黑体" w:eastAsia="黑体"/>
          <w:color w:val="auto"/>
          <w:sz w:val="32"/>
          <w:szCs w:val="32"/>
          <w:highlight w:val="none"/>
        </w:rPr>
        <w:t>支</w:t>
      </w:r>
      <w:r>
        <w:rPr>
          <w:rStyle w:val="37"/>
          <w:rFonts w:hint="eastAsia" w:ascii="黑体" w:hAnsi="黑体" w:eastAsia="黑体"/>
          <w:b w:val="0"/>
          <w:color w:val="auto"/>
          <w:highlight w:val="none"/>
        </w:rPr>
        <w:t>出决算情况说明</w:t>
      </w:r>
      <w:bookmarkEnd w:id="31"/>
      <w:bookmarkEnd w:id="32"/>
      <w:bookmarkEnd w:id="33"/>
    </w:p>
    <w:p>
      <w:pPr>
        <w:spacing w:line="600" w:lineRule="exact"/>
        <w:ind w:firstLine="640" w:firstLineChars="200"/>
        <w:outlineLvl w:val="1"/>
        <w:rPr>
          <w:rFonts w:ascii="仿宋" w:hAnsi="仿宋" w:eastAsia="仿宋"/>
          <w:color w:val="auto"/>
          <w:sz w:val="32"/>
          <w:szCs w:val="32"/>
          <w:highlight w:val="none"/>
        </w:rPr>
      </w:pPr>
      <w:bookmarkStart w:id="34" w:name="_Toc26868"/>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年本年支出合计</w:t>
      </w:r>
      <w:r>
        <w:rPr>
          <w:rFonts w:hint="eastAsia" w:ascii="仿宋" w:hAnsi="仿宋" w:eastAsia="仿宋"/>
          <w:color w:val="auto"/>
          <w:sz w:val="32"/>
          <w:szCs w:val="32"/>
          <w:highlight w:val="none"/>
          <w:lang w:val="en-US" w:eastAsia="zh-CN"/>
        </w:rPr>
        <w:t>859.49</w:t>
      </w:r>
      <w:r>
        <w:rPr>
          <w:rFonts w:hint="eastAsia" w:ascii="仿宋" w:hAnsi="仿宋" w:eastAsia="仿宋"/>
          <w:color w:val="auto"/>
          <w:sz w:val="32"/>
          <w:szCs w:val="32"/>
          <w:highlight w:val="none"/>
        </w:rPr>
        <w:t>万元，其中：基本支出</w:t>
      </w:r>
      <w:r>
        <w:rPr>
          <w:rFonts w:hint="eastAsia" w:ascii="仿宋" w:hAnsi="仿宋" w:eastAsia="仿宋"/>
          <w:color w:val="auto"/>
          <w:sz w:val="32"/>
          <w:szCs w:val="32"/>
          <w:highlight w:val="none"/>
          <w:lang w:val="en-US" w:eastAsia="zh-CN"/>
        </w:rPr>
        <w:t>348.83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40.59</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w:t>
      </w:r>
      <w:r>
        <w:rPr>
          <w:rFonts w:hint="eastAsia" w:ascii="仿宋" w:hAnsi="仿宋" w:eastAsia="仿宋"/>
          <w:color w:val="auto"/>
          <w:sz w:val="32"/>
          <w:szCs w:val="32"/>
          <w:highlight w:val="none"/>
          <w:lang w:val="en-US" w:eastAsia="zh-CN"/>
        </w:rPr>
        <w:t>510.66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59.41</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；上缴上级支出</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；经营支出</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；对附属单位补助支出</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bookmarkEnd w:id="34"/>
    </w:p>
    <w:p>
      <w:pPr>
        <w:keepNext w:val="0"/>
        <w:keepLines w:val="0"/>
        <w:pageBreakBefore w:val="0"/>
        <w:widowControl w:val="0"/>
        <w:kinsoku/>
        <w:wordWrap/>
        <w:overflowPunct/>
        <w:topLinePunct w:val="0"/>
        <w:autoSpaceDE/>
        <w:autoSpaceDN/>
        <w:bidi w:val="0"/>
        <w:adjustRightInd/>
        <w:snapToGrid/>
        <w:spacing w:line="240" w:lineRule="auto"/>
        <w:ind w:firstLine="641"/>
        <w:jc w:val="center"/>
        <w:textAlignment w:val="auto"/>
        <w:rPr>
          <w:rFonts w:ascii="仿宋" w:hAnsi="仿宋" w:eastAsia="仿宋"/>
          <w:color w:val="auto"/>
          <w:sz w:val="32"/>
          <w:szCs w:val="32"/>
          <w:highlight w:val="none"/>
          <w:shd w:val="pct10" w:color="auto" w:fill="FFFFFF"/>
        </w:rPr>
      </w:pPr>
      <w:r>
        <w:rPr>
          <w:rFonts w:hint="eastAsia" w:ascii="仿宋" w:hAnsi="仿宋" w:eastAsia="仿宋"/>
          <w:color w:val="auto"/>
          <w:sz w:val="32"/>
          <w:szCs w:val="32"/>
          <w:highlight w:val="none"/>
          <w:lang w:eastAsia="zh-CN"/>
        </w:rPr>
        <w:drawing>
          <wp:inline distT="0" distB="0" distL="114300" distR="114300">
            <wp:extent cx="4975225" cy="3799840"/>
            <wp:effectExtent l="4445" t="4445" r="11430" b="5715"/>
            <wp:docPr id="5" name="图表 5"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图3：支出决算结构图</w:t>
      </w:r>
    </w:p>
    <w:p>
      <w:pPr>
        <w:pStyle w:val="6"/>
      </w:pPr>
    </w:p>
    <w:p>
      <w:pPr>
        <w:spacing w:line="600" w:lineRule="exact"/>
        <w:ind w:firstLine="640" w:firstLineChars="200"/>
        <w:outlineLvl w:val="1"/>
        <w:rPr>
          <w:rStyle w:val="37"/>
          <w:rFonts w:ascii="黑体" w:hAnsi="黑体" w:eastAsia="黑体"/>
          <w:b w:val="0"/>
          <w:color w:val="auto"/>
          <w:highlight w:val="none"/>
        </w:rPr>
      </w:pPr>
      <w:bookmarkStart w:id="35" w:name="_Toc15396606"/>
      <w:bookmarkStart w:id="36" w:name="_Toc15377208"/>
      <w:bookmarkStart w:id="37" w:name="_Toc27116"/>
      <w:r>
        <w:rPr>
          <w:rFonts w:hint="eastAsia" w:ascii="黑体" w:hAnsi="黑体" w:eastAsia="黑体"/>
          <w:color w:val="auto"/>
          <w:sz w:val="32"/>
          <w:szCs w:val="32"/>
          <w:highlight w:val="none"/>
        </w:rPr>
        <w:t>四、财</w:t>
      </w:r>
      <w:r>
        <w:rPr>
          <w:rStyle w:val="37"/>
          <w:rFonts w:hint="eastAsia" w:ascii="黑体" w:hAnsi="黑体" w:eastAsia="黑体"/>
          <w:b w:val="0"/>
          <w:color w:val="auto"/>
          <w:highlight w:val="none"/>
        </w:rPr>
        <w:t>政拨款收入支出决算总体情况说明</w:t>
      </w:r>
      <w:bookmarkEnd w:id="35"/>
      <w:bookmarkEnd w:id="36"/>
      <w:bookmarkEnd w:id="37"/>
    </w:p>
    <w:p>
      <w:pPr>
        <w:spacing w:line="600" w:lineRule="exact"/>
        <w:ind w:firstLine="640" w:firstLineChars="200"/>
        <w:rPr>
          <w:rFonts w:ascii="仿宋" w:hAnsi="仿宋" w:eastAsia="仿宋"/>
          <w:b/>
          <w:color w:val="FF0000"/>
          <w:sz w:val="32"/>
          <w:szCs w:val="32"/>
          <w:highlight w:val="none"/>
        </w:rPr>
      </w:pPr>
      <w:r>
        <w:rPr>
          <w:rFonts w:hint="eastAsia" w:ascii="仿宋" w:hAnsi="仿宋" w:eastAsia="仿宋"/>
          <w:color w:val="auto"/>
          <w:sz w:val="32"/>
          <w:szCs w:val="32"/>
          <w:highlight w:val="none"/>
        </w:rPr>
        <w:t>202</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年财政拨款收入总计</w:t>
      </w:r>
      <w:r>
        <w:rPr>
          <w:rFonts w:hint="eastAsia" w:ascii="仿宋" w:hAnsi="仿宋" w:eastAsia="仿宋"/>
          <w:color w:val="auto"/>
          <w:sz w:val="32"/>
          <w:szCs w:val="32"/>
          <w:highlight w:val="none"/>
          <w:lang w:val="en-US" w:eastAsia="zh-CN"/>
        </w:rPr>
        <w:t>979.04</w:t>
      </w:r>
      <w:r>
        <w:rPr>
          <w:rFonts w:hint="eastAsia" w:ascii="仿宋" w:hAnsi="仿宋" w:eastAsia="仿宋"/>
          <w:color w:val="auto"/>
          <w:sz w:val="32"/>
          <w:szCs w:val="32"/>
          <w:highlight w:val="none"/>
        </w:rPr>
        <w:t>万元、支出总计</w:t>
      </w:r>
      <w:r>
        <w:rPr>
          <w:rFonts w:hint="eastAsia" w:ascii="仿宋" w:hAnsi="仿宋" w:eastAsia="仿宋"/>
          <w:color w:val="auto"/>
          <w:sz w:val="32"/>
          <w:szCs w:val="32"/>
          <w:highlight w:val="none"/>
          <w:lang w:val="en-US" w:eastAsia="zh-CN"/>
        </w:rPr>
        <w:t>979.04</w:t>
      </w:r>
      <w:r>
        <w:rPr>
          <w:rFonts w:hint="eastAsia" w:ascii="仿宋" w:hAnsi="仿宋" w:eastAsia="仿宋"/>
          <w:color w:val="auto"/>
          <w:sz w:val="32"/>
          <w:szCs w:val="32"/>
          <w:highlight w:val="none"/>
        </w:rPr>
        <w:t>万元。与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年相比，收入总计</w:t>
      </w:r>
      <w:r>
        <w:rPr>
          <w:rFonts w:hint="eastAsia" w:ascii="仿宋" w:hAnsi="仿宋" w:eastAsia="仿宋"/>
          <w:color w:val="auto"/>
          <w:sz w:val="32"/>
          <w:szCs w:val="32"/>
          <w:highlight w:val="none"/>
          <w:lang w:val="en-US" w:eastAsia="zh-CN"/>
        </w:rPr>
        <w:t>减少610.27</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下降38.40</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减少610.27</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下降38.40</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本年项目减少。</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color w:val="auto"/>
          <w:sz w:val="32"/>
          <w:szCs w:val="32"/>
          <w:highlight w:val="none"/>
        </w:rPr>
      </w:pPr>
      <w:r>
        <w:rPr>
          <w:rFonts w:hint="eastAsia" w:eastAsia="宋体"/>
          <w:lang w:eastAsia="zh-CN"/>
        </w:rPr>
        <w:drawing>
          <wp:inline distT="0" distB="0" distL="114300" distR="114300">
            <wp:extent cx="5080000" cy="3810000"/>
            <wp:effectExtent l="4445" t="4445" r="20955" b="14605"/>
            <wp:docPr id="6" name="图表 6" descr="7b0a202020202263686172745265734964223a202232303437313133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pPr>
        <w:spacing w:line="600" w:lineRule="exact"/>
        <w:ind w:firstLine="640"/>
        <w:rPr>
          <w:rFonts w:ascii="仿宋" w:hAnsi="仿宋" w:eastAsia="仿宋"/>
          <w:b/>
          <w:color w:val="auto"/>
          <w:sz w:val="32"/>
          <w:szCs w:val="32"/>
          <w:highlight w:val="none"/>
        </w:rPr>
      </w:pPr>
    </w:p>
    <w:p>
      <w:pPr>
        <w:spacing w:line="600" w:lineRule="exact"/>
        <w:ind w:firstLine="640" w:firstLineChars="200"/>
        <w:outlineLvl w:val="1"/>
        <w:rPr>
          <w:rStyle w:val="37"/>
          <w:rFonts w:ascii="黑体" w:hAnsi="黑体" w:eastAsia="黑体"/>
          <w:b w:val="0"/>
          <w:color w:val="auto"/>
          <w:highlight w:val="none"/>
        </w:rPr>
      </w:pPr>
      <w:bookmarkStart w:id="38" w:name="_Toc26155"/>
      <w:bookmarkStart w:id="39" w:name="_Toc15396607"/>
      <w:bookmarkStart w:id="40" w:name="_Toc15377209"/>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37"/>
          <w:rFonts w:hint="eastAsia" w:ascii="黑体" w:hAnsi="黑体" w:eastAsia="黑体"/>
          <w:b w:val="0"/>
          <w:color w:val="auto"/>
          <w:highlight w:val="none"/>
        </w:rPr>
        <w:t>般公共预算财政拨款支出决算情况说明</w:t>
      </w:r>
      <w:bookmarkEnd w:id="38"/>
      <w:bookmarkEnd w:id="39"/>
      <w:bookmarkEnd w:id="40"/>
    </w:p>
    <w:p>
      <w:pPr>
        <w:spacing w:line="600" w:lineRule="exact"/>
        <w:ind w:firstLine="643" w:firstLineChars="200"/>
        <w:outlineLvl w:val="2"/>
        <w:rPr>
          <w:rFonts w:ascii="仿宋" w:hAnsi="仿宋" w:eastAsia="仿宋"/>
          <w:b/>
          <w:color w:val="auto"/>
          <w:sz w:val="32"/>
          <w:szCs w:val="32"/>
          <w:highlight w:val="none"/>
        </w:rPr>
      </w:pPr>
      <w:bookmarkStart w:id="41" w:name="_Toc15377210"/>
      <w:r>
        <w:rPr>
          <w:rFonts w:hint="eastAsia" w:ascii="仿宋" w:hAnsi="仿宋" w:eastAsia="仿宋"/>
          <w:b/>
          <w:color w:val="auto"/>
          <w:sz w:val="32"/>
          <w:szCs w:val="32"/>
          <w:highlight w:val="none"/>
        </w:rPr>
        <w:t>（一）一般公共预算财政拨款支出决算总体情况</w:t>
      </w:r>
      <w:bookmarkEnd w:id="41"/>
    </w:p>
    <w:p>
      <w:pPr>
        <w:spacing w:line="600" w:lineRule="exact"/>
        <w:ind w:firstLine="640" w:firstLineChars="200"/>
        <w:rPr>
          <w:rFonts w:hint="eastAsia" w:ascii="仿宋" w:hAnsi="仿宋" w:eastAsia="仿宋"/>
          <w:color w:val="auto"/>
          <w:sz w:val="32"/>
          <w:szCs w:val="32"/>
          <w:highlight w:val="none"/>
          <w:lang w:val="en-US"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859.49</w:t>
      </w:r>
      <w:r>
        <w:rPr>
          <w:rFonts w:hint="eastAsia" w:ascii="仿宋" w:hAnsi="仿宋" w:eastAsia="仿宋"/>
          <w:color w:val="auto"/>
          <w:sz w:val="32"/>
          <w:szCs w:val="32"/>
          <w:highlight w:val="none"/>
        </w:rPr>
        <w:t>万元，占本年支出合计的</w:t>
      </w:r>
      <w:r>
        <w:rPr>
          <w:rFonts w:hint="eastAsia" w:ascii="仿宋" w:hAnsi="仿宋" w:eastAsia="仿宋"/>
          <w:color w:val="auto"/>
          <w:sz w:val="32"/>
          <w:szCs w:val="32"/>
          <w:highlight w:val="none"/>
          <w:lang w:val="en-US" w:eastAsia="zh-CN"/>
        </w:rPr>
        <w:t>100.00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hint="eastAsia" w:ascii="仿宋" w:hAnsi="仿宋" w:eastAsia="仿宋"/>
          <w:color w:val="auto"/>
          <w:sz w:val="32"/>
          <w:szCs w:val="32"/>
          <w:highlight w:val="none"/>
          <w:lang w:val="en-US" w:eastAsia="zh-CN"/>
        </w:rPr>
        <w:t>2020</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增加466.13</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增长118.50</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本年费用增加。</w:t>
      </w:r>
    </w:p>
    <w:p>
      <w:pPr>
        <w:spacing w:line="600" w:lineRule="exact"/>
        <w:ind w:firstLine="640" w:firstLineChars="200"/>
        <w:rPr>
          <w:rFonts w:hint="eastAsia" w:ascii="仿宋" w:hAnsi="仿宋" w:eastAsia="仿宋"/>
          <w:color w:val="auto"/>
          <w:sz w:val="32"/>
          <w:szCs w:val="32"/>
          <w:highlight w:val="none"/>
        </w:rPr>
      </w:pPr>
    </w:p>
    <w:p>
      <w:pPr>
        <w:pStyle w:val="6"/>
        <w:jc w:val="center"/>
      </w:pPr>
      <w:r>
        <w:rPr>
          <w:rFonts w:hint="eastAsia" w:eastAsia="宋体"/>
          <w:lang w:eastAsia="zh-CN"/>
        </w:rPr>
        <w:drawing>
          <wp:inline distT="0" distB="0" distL="114300" distR="114300">
            <wp:extent cx="5080000" cy="3810000"/>
            <wp:effectExtent l="4445" t="4445" r="20955" b="14605"/>
            <wp:docPr id="7" name="图表 7" descr="7b0a202020202263686172745265734964223a202232303437313133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w:t>
      </w:r>
    </w:p>
    <w:p>
      <w:pPr>
        <w:pStyle w:val="6"/>
      </w:pPr>
    </w:p>
    <w:p>
      <w:pPr>
        <w:spacing w:line="600" w:lineRule="exact"/>
        <w:ind w:firstLine="643" w:firstLineChars="200"/>
        <w:outlineLvl w:val="2"/>
        <w:rPr>
          <w:rFonts w:ascii="仿宋" w:hAnsi="仿宋" w:eastAsia="仿宋"/>
          <w:b/>
          <w:color w:val="auto"/>
          <w:sz w:val="32"/>
          <w:szCs w:val="32"/>
          <w:highlight w:val="none"/>
        </w:rPr>
      </w:pPr>
      <w:bookmarkStart w:id="42" w:name="_Toc15377211"/>
      <w:r>
        <w:rPr>
          <w:rFonts w:hint="eastAsia" w:ascii="仿宋" w:hAnsi="仿宋" w:eastAsia="仿宋"/>
          <w:b/>
          <w:color w:val="auto"/>
          <w:sz w:val="32"/>
          <w:szCs w:val="32"/>
          <w:highlight w:val="none"/>
        </w:rPr>
        <w:t>（二）一般公共预算财政拨款支出决算结构情况</w:t>
      </w:r>
      <w:bookmarkEnd w:id="42"/>
    </w:p>
    <w:p>
      <w:pPr>
        <w:spacing w:line="600" w:lineRule="exact"/>
        <w:ind w:firstLine="640"/>
        <w:rPr>
          <w:rFonts w:hint="default" w:ascii="仿宋" w:hAnsi="仿宋" w:eastAsia="仿宋"/>
          <w:b/>
          <w:color w:val="auto"/>
          <w:sz w:val="32"/>
          <w:szCs w:val="32"/>
          <w:highlight w:val="none"/>
          <w:lang w:val="en-US"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859.49</w:t>
      </w:r>
      <w:r>
        <w:rPr>
          <w:rFonts w:hint="eastAsia" w:ascii="仿宋" w:hAnsi="仿宋" w:eastAsia="仿宋"/>
          <w:color w:val="auto"/>
          <w:sz w:val="32"/>
          <w:szCs w:val="32"/>
          <w:highlight w:val="none"/>
        </w:rPr>
        <w:t>万元，主要用于以下方面</w:t>
      </w:r>
      <w:r>
        <w:rPr>
          <w:rFonts w:ascii="仿宋" w:hAnsi="仿宋" w:eastAsia="仿宋"/>
          <w:color w:val="auto"/>
          <w:sz w:val="32"/>
          <w:szCs w:val="32"/>
          <w:highlight w:val="none"/>
        </w:rPr>
        <w:t>:</w:t>
      </w:r>
      <w:r>
        <w:rPr>
          <w:rFonts w:hint="eastAsia" w:ascii="仿宋" w:hAnsi="仿宋" w:eastAsia="仿宋"/>
          <w:b/>
          <w:color w:val="auto"/>
          <w:sz w:val="32"/>
          <w:szCs w:val="32"/>
          <w:highlight w:val="none"/>
        </w:rPr>
        <w:t>社会保障和就业支出（类）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27.42</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占3.19%；</w:t>
      </w:r>
      <w:r>
        <w:rPr>
          <w:rFonts w:hint="eastAsia" w:ascii="仿宋" w:hAnsi="仿宋" w:eastAsia="仿宋"/>
          <w:b/>
          <w:bCs/>
          <w:color w:val="auto"/>
          <w:sz w:val="32"/>
          <w:szCs w:val="32"/>
          <w:highlight w:val="none"/>
          <w:lang w:val="en-US" w:eastAsia="zh-CN"/>
        </w:rPr>
        <w:t>卫生健康支出</w:t>
      </w:r>
      <w:r>
        <w:rPr>
          <w:rFonts w:hint="eastAsia" w:ascii="仿宋" w:hAnsi="仿宋" w:eastAsia="仿宋"/>
          <w:b/>
          <w:color w:val="auto"/>
          <w:sz w:val="32"/>
          <w:szCs w:val="32"/>
          <w:highlight w:val="none"/>
        </w:rPr>
        <w:t>（类）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805.69</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占93.74%；</w:t>
      </w:r>
      <w:r>
        <w:rPr>
          <w:rFonts w:hint="eastAsia" w:ascii="仿宋" w:hAnsi="仿宋" w:eastAsia="仿宋"/>
          <w:b/>
          <w:color w:val="auto"/>
          <w:sz w:val="32"/>
          <w:szCs w:val="32"/>
          <w:highlight w:val="none"/>
        </w:rPr>
        <w:t>住房保障支出（类）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26.38</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占3.07%。</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5747385" cy="3982720"/>
            <wp:effectExtent l="4445" t="4445" r="20320" b="13335"/>
            <wp:docPr id="8" name="图表 8"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（图6：一般公共预算财政拨款支出决算结构）（饼状图）</w:t>
      </w:r>
    </w:p>
    <w:p>
      <w:pPr>
        <w:spacing w:line="600" w:lineRule="exact"/>
        <w:ind w:firstLine="640" w:firstLineChars="200"/>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43" w:name="_Toc15377212"/>
      <w:r>
        <w:rPr>
          <w:rFonts w:hint="eastAsia" w:ascii="仿宋" w:hAnsi="仿宋" w:eastAsia="仿宋"/>
          <w:b/>
          <w:color w:val="auto"/>
          <w:sz w:val="32"/>
          <w:szCs w:val="32"/>
          <w:highlight w:val="none"/>
        </w:rPr>
        <w:t>（三）一般公共预算财政拨款支出决算具体情况</w:t>
      </w:r>
      <w:bookmarkEnd w:id="43"/>
    </w:p>
    <w:p>
      <w:pPr>
        <w:spacing w:line="600" w:lineRule="exact"/>
        <w:ind w:firstLine="643" w:firstLineChars="200"/>
        <w:outlineLvl w:val="2"/>
        <w:rPr>
          <w:rFonts w:ascii="仿宋" w:hAnsi="仿宋" w:eastAsia="仿宋"/>
          <w:color w:val="auto"/>
          <w:sz w:val="32"/>
          <w:szCs w:val="32"/>
          <w:highlight w:val="none"/>
        </w:rPr>
      </w:pPr>
      <w:bookmarkStart w:id="44" w:name="_Toc15377444"/>
      <w:bookmarkStart w:id="45" w:name="_Toc15377213"/>
      <w:bookmarkStart w:id="46" w:name="_Toc15378460"/>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21</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b/>
          <w:color w:val="auto"/>
          <w:sz w:val="32"/>
          <w:szCs w:val="32"/>
          <w:highlight w:val="none"/>
          <w:lang w:val="en-US" w:eastAsia="zh-CN"/>
        </w:rPr>
        <w:t>859.49万元</w:t>
      </w:r>
      <w:r>
        <w:rPr>
          <w:rFonts w:hint="eastAsia" w:ascii="仿宋" w:hAnsi="仿宋" w:eastAsia="仿宋"/>
          <w:b/>
          <w:color w:val="auto"/>
          <w:sz w:val="32"/>
          <w:szCs w:val="32"/>
          <w:highlight w:val="none"/>
        </w:rPr>
        <w:t>，完</w:t>
      </w:r>
      <w:r>
        <w:rPr>
          <w:rStyle w:val="23"/>
          <w:rFonts w:hint="eastAsia" w:ascii="仿宋" w:hAnsi="仿宋" w:eastAsia="仿宋"/>
          <w:bCs/>
          <w:color w:val="auto"/>
          <w:sz w:val="32"/>
          <w:szCs w:val="32"/>
          <w:highlight w:val="none"/>
        </w:rPr>
        <w:t>成预算</w:t>
      </w:r>
      <w:r>
        <w:rPr>
          <w:rStyle w:val="23"/>
          <w:rFonts w:hint="eastAsia" w:ascii="仿宋" w:hAnsi="仿宋" w:eastAsia="仿宋"/>
          <w:bCs/>
          <w:color w:val="auto"/>
          <w:sz w:val="32"/>
          <w:szCs w:val="32"/>
          <w:highlight w:val="none"/>
          <w:lang w:val="en-US" w:eastAsia="zh-CN"/>
        </w:rPr>
        <w:t>100.00</w:t>
      </w:r>
      <w:r>
        <w:rPr>
          <w:rStyle w:val="23"/>
          <w:rFonts w:ascii="仿宋" w:hAnsi="仿宋" w:eastAsia="仿宋"/>
          <w:bCs/>
          <w:color w:val="auto"/>
          <w:sz w:val="32"/>
          <w:szCs w:val="32"/>
          <w:highlight w:val="none"/>
        </w:rPr>
        <w:t>%</w:t>
      </w:r>
      <w:r>
        <w:rPr>
          <w:rStyle w:val="23"/>
          <w:rFonts w:hint="eastAsia" w:ascii="仿宋" w:hAnsi="仿宋" w:eastAsia="仿宋"/>
          <w:bCs/>
          <w:color w:val="auto"/>
          <w:sz w:val="32"/>
          <w:szCs w:val="32"/>
          <w:highlight w:val="none"/>
        </w:rPr>
        <w:t>。其中：</w:t>
      </w:r>
      <w:bookmarkEnd w:id="44"/>
      <w:bookmarkEnd w:id="45"/>
      <w:bookmarkEnd w:id="46"/>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bCs w:val="0"/>
          <w:color w:val="auto"/>
          <w:sz w:val="32"/>
          <w:szCs w:val="32"/>
          <w:lang w:eastAsia="zh-CN"/>
        </w:rPr>
        <w:t>社会保障和就业支出（</w:t>
      </w:r>
      <w:r>
        <w:rPr>
          <w:rFonts w:hint="eastAsia" w:ascii="仿宋" w:hAnsi="仿宋" w:eastAsia="仿宋"/>
          <w:b/>
          <w:bCs w:val="0"/>
          <w:color w:val="auto"/>
          <w:sz w:val="32"/>
          <w:szCs w:val="32"/>
          <w:lang w:val="en-US" w:eastAsia="zh-CN"/>
        </w:rPr>
        <w:t>208</w:t>
      </w:r>
      <w:r>
        <w:rPr>
          <w:rFonts w:hint="eastAsia" w:ascii="仿宋" w:hAnsi="仿宋" w:eastAsia="仿宋"/>
          <w:b/>
          <w:bCs w:val="0"/>
          <w:color w:val="auto"/>
          <w:sz w:val="32"/>
          <w:szCs w:val="32"/>
          <w:lang w:eastAsia="zh-CN"/>
        </w:rPr>
        <w:t>）行政事业单位养老支出（</w:t>
      </w:r>
      <w:r>
        <w:rPr>
          <w:rFonts w:hint="eastAsia" w:ascii="仿宋" w:hAnsi="仿宋" w:eastAsia="仿宋"/>
          <w:b/>
          <w:bCs w:val="0"/>
          <w:color w:val="auto"/>
          <w:sz w:val="32"/>
          <w:szCs w:val="32"/>
          <w:lang w:val="en-US" w:eastAsia="zh-CN"/>
        </w:rPr>
        <w:t>05</w:t>
      </w:r>
      <w:r>
        <w:rPr>
          <w:rFonts w:hint="eastAsia" w:ascii="仿宋" w:hAnsi="仿宋" w:eastAsia="仿宋"/>
          <w:b/>
          <w:bCs w:val="0"/>
          <w:color w:val="auto"/>
          <w:sz w:val="32"/>
          <w:szCs w:val="32"/>
          <w:lang w:eastAsia="zh-CN"/>
        </w:rPr>
        <w:t>）机关事业单位基本养老保险缴费支出（</w:t>
      </w:r>
      <w:r>
        <w:rPr>
          <w:rFonts w:hint="eastAsia" w:ascii="仿宋" w:hAnsi="仿宋" w:eastAsia="仿宋"/>
          <w:b/>
          <w:bCs w:val="0"/>
          <w:color w:val="auto"/>
          <w:sz w:val="32"/>
          <w:szCs w:val="32"/>
          <w:lang w:val="en-US" w:eastAsia="zh-CN"/>
        </w:rPr>
        <w:t>05</w:t>
      </w:r>
      <w:r>
        <w:rPr>
          <w:rFonts w:hint="eastAsia" w:ascii="仿宋" w:hAnsi="仿宋" w:eastAsia="仿宋"/>
          <w:b/>
          <w:bCs w:val="0"/>
          <w:color w:val="auto"/>
          <w:sz w:val="32"/>
          <w:szCs w:val="32"/>
          <w:lang w:eastAsia="zh-CN"/>
        </w:rPr>
        <w:t>）：</w:t>
      </w:r>
      <w:r>
        <w:rPr>
          <w:rStyle w:val="23"/>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22.90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bCs w:val="0"/>
          <w:color w:val="auto"/>
          <w:sz w:val="32"/>
          <w:szCs w:val="32"/>
          <w:lang w:eastAsia="zh-CN"/>
        </w:rPr>
        <w:t>社会保障和就业支出（</w:t>
      </w:r>
      <w:r>
        <w:rPr>
          <w:rFonts w:hint="eastAsia" w:ascii="仿宋" w:hAnsi="仿宋" w:eastAsia="仿宋"/>
          <w:b/>
          <w:bCs w:val="0"/>
          <w:color w:val="auto"/>
          <w:sz w:val="32"/>
          <w:szCs w:val="32"/>
          <w:lang w:val="en-US" w:eastAsia="zh-CN"/>
        </w:rPr>
        <w:t>208</w:t>
      </w:r>
      <w:r>
        <w:rPr>
          <w:rFonts w:hint="eastAsia" w:ascii="仿宋" w:hAnsi="仿宋" w:eastAsia="仿宋"/>
          <w:b/>
          <w:bCs w:val="0"/>
          <w:color w:val="auto"/>
          <w:sz w:val="32"/>
          <w:szCs w:val="32"/>
          <w:lang w:eastAsia="zh-CN"/>
        </w:rPr>
        <w:t>）行政事业单位养老支出（</w:t>
      </w:r>
      <w:r>
        <w:rPr>
          <w:rFonts w:hint="eastAsia" w:ascii="仿宋" w:hAnsi="仿宋" w:eastAsia="仿宋"/>
          <w:b/>
          <w:bCs w:val="0"/>
          <w:color w:val="auto"/>
          <w:sz w:val="32"/>
          <w:szCs w:val="32"/>
          <w:lang w:val="en-US" w:eastAsia="zh-CN"/>
        </w:rPr>
        <w:t>05</w:t>
      </w:r>
      <w:r>
        <w:rPr>
          <w:rFonts w:hint="eastAsia" w:ascii="仿宋" w:hAnsi="仿宋" w:eastAsia="仿宋"/>
          <w:b/>
          <w:bCs w:val="0"/>
          <w:color w:val="auto"/>
          <w:sz w:val="32"/>
          <w:szCs w:val="32"/>
          <w:lang w:eastAsia="zh-CN"/>
        </w:rPr>
        <w:t>）机关事业单位职业年金缴费支出（</w:t>
      </w:r>
      <w:r>
        <w:rPr>
          <w:rFonts w:hint="eastAsia" w:ascii="仿宋" w:hAnsi="仿宋" w:eastAsia="仿宋"/>
          <w:b/>
          <w:bCs w:val="0"/>
          <w:color w:val="auto"/>
          <w:sz w:val="32"/>
          <w:szCs w:val="32"/>
          <w:lang w:val="en-US" w:eastAsia="zh-CN"/>
        </w:rPr>
        <w:t>06</w:t>
      </w:r>
      <w:r>
        <w:rPr>
          <w:rFonts w:hint="eastAsia" w:ascii="仿宋" w:hAnsi="仿宋" w:eastAsia="仿宋"/>
          <w:b/>
          <w:bCs w:val="0"/>
          <w:color w:val="auto"/>
          <w:sz w:val="32"/>
          <w:szCs w:val="32"/>
          <w:lang w:eastAsia="zh-CN"/>
        </w:rPr>
        <w:t>）：</w:t>
      </w:r>
      <w:r>
        <w:rPr>
          <w:rStyle w:val="23"/>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3.37</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bCs w:val="0"/>
          <w:color w:val="auto"/>
          <w:sz w:val="32"/>
          <w:szCs w:val="32"/>
          <w:lang w:eastAsia="zh-CN"/>
        </w:rPr>
        <w:t>社会保障和就业支出（</w:t>
      </w:r>
      <w:r>
        <w:rPr>
          <w:rFonts w:hint="eastAsia" w:ascii="仿宋" w:hAnsi="仿宋" w:eastAsia="仿宋"/>
          <w:b/>
          <w:bCs w:val="0"/>
          <w:color w:val="auto"/>
          <w:sz w:val="32"/>
          <w:szCs w:val="32"/>
          <w:lang w:val="en-US" w:eastAsia="zh-CN"/>
        </w:rPr>
        <w:t>208</w:t>
      </w:r>
      <w:r>
        <w:rPr>
          <w:rFonts w:hint="eastAsia" w:ascii="仿宋" w:hAnsi="仿宋" w:eastAsia="仿宋"/>
          <w:b/>
          <w:bCs w:val="0"/>
          <w:color w:val="auto"/>
          <w:sz w:val="32"/>
          <w:szCs w:val="32"/>
          <w:lang w:eastAsia="zh-CN"/>
        </w:rPr>
        <w:t>）其他社会保障和就业支出（</w:t>
      </w:r>
      <w:r>
        <w:rPr>
          <w:rFonts w:hint="eastAsia" w:ascii="仿宋" w:hAnsi="仿宋" w:eastAsia="仿宋"/>
          <w:b/>
          <w:bCs w:val="0"/>
          <w:color w:val="auto"/>
          <w:sz w:val="32"/>
          <w:szCs w:val="32"/>
          <w:lang w:val="en-US" w:eastAsia="zh-CN"/>
        </w:rPr>
        <w:t>99</w:t>
      </w:r>
      <w:r>
        <w:rPr>
          <w:rFonts w:hint="eastAsia" w:ascii="仿宋" w:hAnsi="仿宋" w:eastAsia="仿宋"/>
          <w:b/>
          <w:bCs w:val="0"/>
          <w:color w:val="auto"/>
          <w:sz w:val="32"/>
          <w:szCs w:val="32"/>
          <w:lang w:eastAsia="zh-CN"/>
        </w:rPr>
        <w:t>）其他社会保障和就业支出（</w:t>
      </w:r>
      <w:r>
        <w:rPr>
          <w:rFonts w:hint="eastAsia" w:ascii="仿宋" w:hAnsi="仿宋" w:eastAsia="仿宋"/>
          <w:b/>
          <w:bCs w:val="0"/>
          <w:color w:val="auto"/>
          <w:sz w:val="32"/>
          <w:szCs w:val="32"/>
          <w:lang w:val="en-US" w:eastAsia="zh-CN"/>
        </w:rPr>
        <w:t>99</w:t>
      </w:r>
      <w:r>
        <w:rPr>
          <w:rFonts w:hint="eastAsia" w:ascii="仿宋" w:hAnsi="仿宋" w:eastAsia="仿宋"/>
          <w:b/>
          <w:bCs w:val="0"/>
          <w:color w:val="auto"/>
          <w:sz w:val="32"/>
          <w:szCs w:val="32"/>
          <w:lang w:eastAsia="zh-CN"/>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1.15</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生健康支出</w:t>
      </w:r>
      <w:r>
        <w:rPr>
          <w:rStyle w:val="23"/>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210</w:t>
      </w:r>
      <w:r>
        <w:rPr>
          <w:rFonts w:hint="eastAsia" w:ascii="仿宋" w:hAnsi="仿宋" w:eastAsia="仿宋"/>
          <w:b/>
          <w:bCs w:val="0"/>
          <w:color w:val="auto"/>
          <w:sz w:val="32"/>
          <w:szCs w:val="32"/>
          <w:lang w:eastAsia="zh-CN"/>
        </w:rPr>
        <w:t>）卫生健康管理事务（</w:t>
      </w:r>
      <w:r>
        <w:rPr>
          <w:rFonts w:hint="eastAsia" w:ascii="仿宋" w:hAnsi="仿宋" w:eastAsia="仿宋"/>
          <w:b/>
          <w:bCs w:val="0"/>
          <w:color w:val="auto"/>
          <w:sz w:val="32"/>
          <w:szCs w:val="32"/>
          <w:lang w:val="en-US" w:eastAsia="zh-CN"/>
        </w:rPr>
        <w:t>01</w:t>
      </w:r>
      <w:r>
        <w:rPr>
          <w:rFonts w:hint="eastAsia" w:ascii="仿宋" w:hAnsi="仿宋" w:eastAsia="仿宋"/>
          <w:b/>
          <w:bCs w:val="0"/>
          <w:color w:val="auto"/>
          <w:sz w:val="32"/>
          <w:szCs w:val="32"/>
          <w:lang w:eastAsia="zh-CN"/>
        </w:rPr>
        <w:t>）其他卫生健康管理事务支出（</w:t>
      </w:r>
      <w:r>
        <w:rPr>
          <w:rFonts w:hint="eastAsia" w:ascii="仿宋" w:hAnsi="仿宋" w:eastAsia="仿宋"/>
          <w:b/>
          <w:bCs w:val="0"/>
          <w:color w:val="auto"/>
          <w:sz w:val="32"/>
          <w:szCs w:val="32"/>
          <w:lang w:val="en-US" w:eastAsia="zh-CN"/>
        </w:rPr>
        <w:t>99</w:t>
      </w:r>
      <w:r>
        <w:rPr>
          <w:rFonts w:hint="eastAsia" w:ascii="仿宋" w:hAnsi="仿宋" w:eastAsia="仿宋"/>
          <w:b/>
          <w:bCs w:val="0"/>
          <w:color w:val="auto"/>
          <w:sz w:val="32"/>
          <w:szCs w:val="32"/>
          <w:lang w:eastAsia="zh-CN"/>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300.00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生健康支出</w:t>
      </w:r>
      <w:r>
        <w:rPr>
          <w:rStyle w:val="23"/>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210</w:t>
      </w:r>
      <w:r>
        <w:rPr>
          <w:rFonts w:hint="eastAsia" w:ascii="仿宋" w:hAnsi="仿宋" w:eastAsia="仿宋"/>
          <w:b/>
          <w:bCs w:val="0"/>
          <w:color w:val="auto"/>
          <w:sz w:val="32"/>
          <w:szCs w:val="32"/>
          <w:lang w:eastAsia="zh-CN"/>
        </w:rPr>
        <w:t>）公立医院（</w:t>
      </w:r>
      <w:r>
        <w:rPr>
          <w:rFonts w:hint="eastAsia" w:ascii="仿宋" w:hAnsi="仿宋" w:eastAsia="仿宋"/>
          <w:b/>
          <w:bCs w:val="0"/>
          <w:color w:val="auto"/>
          <w:sz w:val="32"/>
          <w:szCs w:val="32"/>
          <w:lang w:val="en-US" w:eastAsia="zh-CN"/>
        </w:rPr>
        <w:t>02</w:t>
      </w:r>
      <w:r>
        <w:rPr>
          <w:rFonts w:hint="eastAsia" w:ascii="仿宋" w:hAnsi="仿宋" w:eastAsia="仿宋"/>
          <w:b/>
          <w:bCs w:val="0"/>
          <w:color w:val="auto"/>
          <w:sz w:val="32"/>
          <w:szCs w:val="32"/>
          <w:lang w:eastAsia="zh-CN"/>
        </w:rPr>
        <w:t>）综合医院（</w:t>
      </w:r>
      <w:r>
        <w:rPr>
          <w:rFonts w:hint="eastAsia" w:ascii="仿宋" w:hAnsi="仿宋" w:eastAsia="仿宋"/>
          <w:b/>
          <w:bCs w:val="0"/>
          <w:color w:val="auto"/>
          <w:sz w:val="32"/>
          <w:szCs w:val="32"/>
          <w:lang w:val="en-US" w:eastAsia="zh-CN"/>
        </w:rPr>
        <w:t>01</w:t>
      </w:r>
      <w:r>
        <w:rPr>
          <w:rFonts w:hint="eastAsia" w:ascii="仿宋" w:hAnsi="仿宋" w:eastAsia="仿宋"/>
          <w:b/>
          <w:bCs w:val="0"/>
          <w:color w:val="auto"/>
          <w:sz w:val="32"/>
          <w:szCs w:val="32"/>
          <w:lang w:eastAsia="zh-CN"/>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18.31</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生健康支出</w:t>
      </w:r>
      <w:r>
        <w:rPr>
          <w:rStyle w:val="23"/>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210</w:t>
      </w:r>
      <w:r>
        <w:rPr>
          <w:rFonts w:hint="eastAsia" w:ascii="仿宋" w:hAnsi="仿宋" w:eastAsia="仿宋"/>
          <w:b/>
          <w:bCs w:val="0"/>
          <w:color w:val="auto"/>
          <w:sz w:val="32"/>
          <w:szCs w:val="32"/>
          <w:lang w:eastAsia="zh-CN"/>
        </w:rPr>
        <w:t>）公立医院（</w:t>
      </w:r>
      <w:r>
        <w:rPr>
          <w:rFonts w:hint="eastAsia" w:ascii="仿宋" w:hAnsi="仿宋" w:eastAsia="仿宋"/>
          <w:b/>
          <w:bCs w:val="0"/>
          <w:color w:val="auto"/>
          <w:sz w:val="32"/>
          <w:szCs w:val="32"/>
          <w:lang w:val="en-US" w:eastAsia="zh-CN"/>
        </w:rPr>
        <w:t>02</w:t>
      </w:r>
      <w:r>
        <w:rPr>
          <w:rFonts w:hint="eastAsia" w:ascii="仿宋" w:hAnsi="仿宋" w:eastAsia="仿宋"/>
          <w:b/>
          <w:bCs w:val="0"/>
          <w:color w:val="auto"/>
          <w:sz w:val="32"/>
          <w:szCs w:val="32"/>
          <w:lang w:eastAsia="zh-CN"/>
        </w:rPr>
        <w:t>）妇幼保健医院（</w:t>
      </w:r>
      <w:r>
        <w:rPr>
          <w:rFonts w:hint="eastAsia" w:ascii="仿宋" w:hAnsi="仿宋" w:eastAsia="仿宋"/>
          <w:b/>
          <w:bCs w:val="0"/>
          <w:color w:val="auto"/>
          <w:sz w:val="32"/>
          <w:szCs w:val="32"/>
          <w:lang w:val="en-US" w:eastAsia="zh-CN"/>
        </w:rPr>
        <w:t>06</w:t>
      </w:r>
      <w:r>
        <w:rPr>
          <w:rFonts w:hint="eastAsia" w:ascii="仿宋" w:hAnsi="仿宋" w:eastAsia="仿宋"/>
          <w:b/>
          <w:bCs w:val="0"/>
          <w:color w:val="auto"/>
          <w:sz w:val="32"/>
          <w:szCs w:val="32"/>
          <w:lang w:eastAsia="zh-CN"/>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18.90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卫生健康支出</w:t>
      </w:r>
      <w:r>
        <w:rPr>
          <w:rStyle w:val="23"/>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210</w:t>
      </w:r>
      <w:r>
        <w:rPr>
          <w:rFonts w:hint="eastAsia" w:ascii="仿宋" w:hAnsi="仿宋" w:eastAsia="仿宋"/>
          <w:b/>
          <w:bCs w:val="0"/>
          <w:color w:val="auto"/>
          <w:sz w:val="32"/>
          <w:szCs w:val="32"/>
          <w:lang w:eastAsia="zh-CN"/>
        </w:rPr>
        <w:t>）公共卫生（</w:t>
      </w:r>
      <w:r>
        <w:rPr>
          <w:rFonts w:hint="eastAsia" w:ascii="仿宋" w:hAnsi="仿宋" w:eastAsia="仿宋"/>
          <w:b/>
          <w:bCs w:val="0"/>
          <w:color w:val="auto"/>
          <w:sz w:val="32"/>
          <w:szCs w:val="32"/>
          <w:lang w:val="en-US" w:eastAsia="zh-CN"/>
        </w:rPr>
        <w:t>04</w:t>
      </w:r>
      <w:r>
        <w:rPr>
          <w:rFonts w:hint="eastAsia" w:ascii="仿宋" w:hAnsi="仿宋" w:eastAsia="仿宋"/>
          <w:b/>
          <w:bCs w:val="0"/>
          <w:color w:val="auto"/>
          <w:sz w:val="32"/>
          <w:szCs w:val="32"/>
          <w:lang w:eastAsia="zh-CN"/>
        </w:rPr>
        <w:t>）妇幼保健机构（</w:t>
      </w:r>
      <w:r>
        <w:rPr>
          <w:rFonts w:hint="eastAsia" w:ascii="仿宋" w:hAnsi="仿宋" w:eastAsia="仿宋"/>
          <w:b/>
          <w:bCs w:val="0"/>
          <w:color w:val="auto"/>
          <w:sz w:val="32"/>
          <w:szCs w:val="32"/>
          <w:lang w:val="en-US" w:eastAsia="zh-CN"/>
        </w:rPr>
        <w:t>03</w:t>
      </w:r>
      <w:r>
        <w:rPr>
          <w:rFonts w:hint="eastAsia" w:ascii="仿宋" w:hAnsi="仿宋" w:eastAsia="仿宋"/>
          <w:b/>
          <w:bCs w:val="0"/>
          <w:color w:val="auto"/>
          <w:sz w:val="32"/>
          <w:szCs w:val="32"/>
          <w:lang w:eastAsia="zh-CN"/>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443.78</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卫生健康支出</w:t>
      </w:r>
      <w:r>
        <w:rPr>
          <w:rStyle w:val="23"/>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210</w:t>
      </w:r>
      <w:r>
        <w:rPr>
          <w:rFonts w:hint="eastAsia" w:ascii="仿宋" w:hAnsi="仿宋" w:eastAsia="仿宋"/>
          <w:b/>
          <w:bCs w:val="0"/>
          <w:color w:val="auto"/>
          <w:sz w:val="32"/>
          <w:szCs w:val="32"/>
          <w:lang w:eastAsia="zh-CN"/>
        </w:rPr>
        <w:t>）公共卫生（</w:t>
      </w:r>
      <w:r>
        <w:rPr>
          <w:rFonts w:hint="eastAsia" w:ascii="仿宋" w:hAnsi="仿宋" w:eastAsia="仿宋"/>
          <w:b/>
          <w:bCs w:val="0"/>
          <w:color w:val="auto"/>
          <w:sz w:val="32"/>
          <w:szCs w:val="32"/>
          <w:lang w:val="en-US" w:eastAsia="zh-CN"/>
        </w:rPr>
        <w:t>04</w:t>
      </w:r>
      <w:r>
        <w:rPr>
          <w:rFonts w:hint="eastAsia" w:ascii="仿宋" w:hAnsi="仿宋" w:eastAsia="仿宋"/>
          <w:b/>
          <w:bCs w:val="0"/>
          <w:color w:val="auto"/>
          <w:sz w:val="32"/>
          <w:szCs w:val="32"/>
          <w:lang w:eastAsia="zh-CN"/>
        </w:rPr>
        <w:t>）基本公共卫生服务（</w:t>
      </w:r>
      <w:r>
        <w:rPr>
          <w:rFonts w:hint="eastAsia" w:ascii="仿宋" w:hAnsi="仿宋" w:eastAsia="仿宋"/>
          <w:b/>
          <w:bCs w:val="0"/>
          <w:color w:val="auto"/>
          <w:sz w:val="32"/>
          <w:szCs w:val="32"/>
          <w:lang w:val="en-US" w:eastAsia="zh-CN"/>
        </w:rPr>
        <w:t>08</w:t>
      </w:r>
      <w:r>
        <w:rPr>
          <w:rFonts w:hint="eastAsia" w:ascii="仿宋" w:hAnsi="仿宋" w:eastAsia="仿宋"/>
          <w:b/>
          <w:bCs w:val="0"/>
          <w:color w:val="auto"/>
          <w:sz w:val="32"/>
          <w:szCs w:val="32"/>
          <w:lang w:eastAsia="zh-CN"/>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7.53</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卫生健康支出</w:t>
      </w:r>
      <w:r>
        <w:rPr>
          <w:rStyle w:val="23"/>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210</w:t>
      </w:r>
      <w:r>
        <w:rPr>
          <w:rFonts w:hint="eastAsia" w:ascii="仿宋" w:hAnsi="仿宋" w:eastAsia="仿宋"/>
          <w:b/>
          <w:bCs w:val="0"/>
          <w:color w:val="auto"/>
          <w:sz w:val="32"/>
          <w:szCs w:val="32"/>
          <w:lang w:eastAsia="zh-CN"/>
        </w:rPr>
        <w:t>）公共卫生（</w:t>
      </w:r>
      <w:r>
        <w:rPr>
          <w:rFonts w:hint="eastAsia" w:ascii="仿宋" w:hAnsi="仿宋" w:eastAsia="仿宋"/>
          <w:b/>
          <w:bCs w:val="0"/>
          <w:color w:val="auto"/>
          <w:sz w:val="32"/>
          <w:szCs w:val="32"/>
          <w:lang w:val="en-US" w:eastAsia="zh-CN"/>
        </w:rPr>
        <w:t>04</w:t>
      </w:r>
      <w:r>
        <w:rPr>
          <w:rFonts w:hint="eastAsia" w:ascii="仿宋" w:hAnsi="仿宋" w:eastAsia="仿宋"/>
          <w:b/>
          <w:bCs w:val="0"/>
          <w:color w:val="auto"/>
          <w:sz w:val="32"/>
          <w:szCs w:val="32"/>
          <w:lang w:eastAsia="zh-CN"/>
        </w:rPr>
        <w:t>）重大公共卫生服务（</w:t>
      </w:r>
      <w:r>
        <w:rPr>
          <w:rFonts w:hint="eastAsia" w:ascii="仿宋" w:hAnsi="仿宋" w:eastAsia="仿宋"/>
          <w:b/>
          <w:bCs w:val="0"/>
          <w:color w:val="auto"/>
          <w:sz w:val="32"/>
          <w:szCs w:val="32"/>
          <w:lang w:val="en-US" w:eastAsia="zh-CN"/>
        </w:rPr>
        <w:t>09</w:t>
      </w:r>
      <w:r>
        <w:rPr>
          <w:rFonts w:hint="eastAsia" w:ascii="仿宋" w:hAnsi="仿宋" w:eastAsia="仿宋"/>
          <w:b/>
          <w:bCs w:val="0"/>
          <w:color w:val="auto"/>
          <w:sz w:val="32"/>
          <w:szCs w:val="32"/>
          <w:lang w:eastAsia="zh-CN"/>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5.21</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lang w:val="en-US"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卫生健康支出</w:t>
      </w:r>
      <w:r>
        <w:rPr>
          <w:rStyle w:val="23"/>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210</w:t>
      </w:r>
      <w:r>
        <w:rPr>
          <w:rFonts w:hint="eastAsia" w:ascii="仿宋" w:hAnsi="仿宋" w:eastAsia="仿宋"/>
          <w:b/>
          <w:bCs w:val="0"/>
          <w:color w:val="auto"/>
          <w:sz w:val="32"/>
          <w:szCs w:val="32"/>
          <w:lang w:eastAsia="zh-CN"/>
        </w:rPr>
        <w:t>）公共卫生（</w:t>
      </w:r>
      <w:r>
        <w:rPr>
          <w:rFonts w:hint="eastAsia" w:ascii="仿宋" w:hAnsi="仿宋" w:eastAsia="仿宋"/>
          <w:b/>
          <w:bCs w:val="0"/>
          <w:color w:val="auto"/>
          <w:sz w:val="32"/>
          <w:szCs w:val="32"/>
          <w:lang w:val="en-US" w:eastAsia="zh-CN"/>
        </w:rPr>
        <w:t>04</w:t>
      </w:r>
      <w:r>
        <w:rPr>
          <w:rFonts w:hint="eastAsia" w:ascii="仿宋" w:hAnsi="仿宋" w:eastAsia="仿宋"/>
          <w:b/>
          <w:bCs w:val="0"/>
          <w:color w:val="auto"/>
          <w:sz w:val="32"/>
          <w:szCs w:val="32"/>
          <w:lang w:eastAsia="zh-CN"/>
        </w:rPr>
        <w:t>）其他公共卫生支出（</w:t>
      </w:r>
      <w:r>
        <w:rPr>
          <w:rFonts w:hint="eastAsia" w:ascii="仿宋" w:hAnsi="仿宋" w:eastAsia="仿宋"/>
          <w:b/>
          <w:bCs w:val="0"/>
          <w:color w:val="auto"/>
          <w:sz w:val="32"/>
          <w:szCs w:val="32"/>
          <w:lang w:val="en-US" w:eastAsia="zh-CN"/>
        </w:rPr>
        <w:t>99</w:t>
      </w:r>
      <w:r>
        <w:rPr>
          <w:rFonts w:hint="eastAsia" w:ascii="仿宋" w:hAnsi="仿宋" w:eastAsia="仿宋"/>
          <w:b/>
          <w:bCs w:val="0"/>
          <w:color w:val="auto"/>
          <w:sz w:val="32"/>
          <w:szCs w:val="32"/>
          <w:lang w:eastAsia="zh-CN"/>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1.86</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Fonts w:hint="eastAsia" w:ascii="仿宋" w:hAnsi="仿宋" w:eastAsia="仿宋"/>
          <w:b/>
          <w:color w:val="auto"/>
          <w:sz w:val="32"/>
          <w:szCs w:val="32"/>
          <w:highlight w:val="none"/>
        </w:rPr>
        <w:t>卫生健康支出</w:t>
      </w:r>
      <w:r>
        <w:rPr>
          <w:rStyle w:val="23"/>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210</w:t>
      </w:r>
      <w:r>
        <w:rPr>
          <w:rFonts w:hint="eastAsia" w:ascii="仿宋" w:hAnsi="仿宋" w:eastAsia="仿宋"/>
          <w:b/>
          <w:bCs w:val="0"/>
          <w:color w:val="auto"/>
          <w:sz w:val="32"/>
          <w:szCs w:val="32"/>
          <w:lang w:eastAsia="zh-CN"/>
        </w:rPr>
        <w:t>）行政事业单位医疗（</w:t>
      </w:r>
      <w:r>
        <w:rPr>
          <w:rFonts w:hint="eastAsia" w:ascii="仿宋" w:hAnsi="仿宋" w:eastAsia="仿宋"/>
          <w:b/>
          <w:bCs w:val="0"/>
          <w:color w:val="auto"/>
          <w:sz w:val="32"/>
          <w:szCs w:val="32"/>
          <w:lang w:val="en-US" w:eastAsia="zh-CN"/>
        </w:rPr>
        <w:t>11</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事业</w:t>
      </w:r>
      <w:r>
        <w:rPr>
          <w:rFonts w:hint="eastAsia" w:ascii="仿宋" w:hAnsi="仿宋" w:eastAsia="仿宋"/>
          <w:b/>
          <w:bCs w:val="0"/>
          <w:color w:val="auto"/>
          <w:sz w:val="32"/>
          <w:szCs w:val="32"/>
          <w:lang w:eastAsia="zh-CN"/>
        </w:rPr>
        <w:t>单位医疗（</w:t>
      </w:r>
      <w:r>
        <w:rPr>
          <w:rFonts w:hint="eastAsia" w:ascii="仿宋" w:hAnsi="仿宋" w:eastAsia="仿宋"/>
          <w:b/>
          <w:bCs w:val="0"/>
          <w:color w:val="auto"/>
          <w:sz w:val="32"/>
          <w:szCs w:val="32"/>
          <w:lang w:val="en-US" w:eastAsia="zh-CN"/>
        </w:rPr>
        <w:t>02</w:t>
      </w:r>
      <w:r>
        <w:rPr>
          <w:rFonts w:hint="eastAsia" w:ascii="仿宋" w:hAnsi="仿宋" w:eastAsia="仿宋"/>
          <w:b/>
          <w:bCs w:val="0"/>
          <w:color w:val="auto"/>
          <w:sz w:val="32"/>
          <w:szCs w:val="32"/>
          <w:lang w:eastAsia="zh-CN"/>
        </w:rPr>
        <w:t>）：</w:t>
      </w:r>
      <w:r>
        <w:rPr>
          <w:rStyle w:val="23"/>
          <w:rFonts w:hint="eastAsia" w:ascii="仿宋" w:hAnsi="仿宋" w:eastAsia="仿宋"/>
          <w:b w:val="0"/>
          <w:bCs/>
          <w:color w:val="auto"/>
          <w:sz w:val="32"/>
          <w:szCs w:val="32"/>
        </w:rPr>
        <w:t>支出决算为</w:t>
      </w:r>
      <w:r>
        <w:rPr>
          <w:rStyle w:val="23"/>
          <w:rFonts w:hint="eastAsia" w:ascii="仿宋" w:hAnsi="仿宋" w:eastAsia="仿宋"/>
          <w:b w:val="0"/>
          <w:bCs/>
          <w:color w:val="auto"/>
          <w:sz w:val="32"/>
          <w:szCs w:val="32"/>
          <w:lang w:val="en-US" w:eastAsia="zh-CN"/>
        </w:rPr>
        <w:t>10.11</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hint="eastAsia" w:ascii="仿宋" w:hAnsi="仿宋" w:eastAsia="仿宋" w:cs="Times New Roman"/>
          <w:b/>
          <w:color w:val="auto"/>
          <w:sz w:val="32"/>
          <w:szCs w:val="32"/>
          <w:highlight w:val="none"/>
        </w:rPr>
      </w:pPr>
      <w:r>
        <w:rPr>
          <w:rFonts w:hint="eastAsia" w:ascii="仿宋" w:hAnsi="仿宋" w:eastAsia="仿宋" w:cs="Times New Roman"/>
          <w:b/>
          <w:color w:val="auto"/>
          <w:sz w:val="32"/>
          <w:szCs w:val="32"/>
          <w:highlight w:val="none"/>
        </w:rPr>
        <w:t>住房保障支出（</w:t>
      </w:r>
      <w:r>
        <w:rPr>
          <w:rFonts w:hint="eastAsia" w:ascii="仿宋" w:hAnsi="仿宋" w:eastAsia="仿宋" w:cs="Times New Roman"/>
          <w:b/>
          <w:color w:val="auto"/>
          <w:sz w:val="32"/>
          <w:szCs w:val="32"/>
          <w:highlight w:val="none"/>
          <w:lang w:val="en-US" w:eastAsia="zh-CN"/>
        </w:rPr>
        <w:t>221</w:t>
      </w:r>
      <w:r>
        <w:rPr>
          <w:rFonts w:hint="eastAsia" w:ascii="仿宋" w:hAnsi="仿宋" w:eastAsia="仿宋" w:cs="Times New Roman"/>
          <w:b/>
          <w:color w:val="auto"/>
          <w:sz w:val="32"/>
          <w:szCs w:val="32"/>
          <w:highlight w:val="none"/>
          <w:lang w:eastAsia="zh-CN"/>
        </w:rPr>
        <w:t>）住房改革支出（</w:t>
      </w:r>
      <w:r>
        <w:rPr>
          <w:rFonts w:hint="eastAsia" w:ascii="仿宋" w:hAnsi="仿宋" w:eastAsia="仿宋" w:cs="Times New Roman"/>
          <w:b/>
          <w:color w:val="auto"/>
          <w:sz w:val="32"/>
          <w:szCs w:val="32"/>
          <w:highlight w:val="none"/>
          <w:lang w:val="en-US" w:eastAsia="zh-CN"/>
        </w:rPr>
        <w:t>02</w:t>
      </w:r>
      <w:r>
        <w:rPr>
          <w:rFonts w:hint="eastAsia" w:ascii="仿宋" w:hAnsi="仿宋" w:eastAsia="仿宋" w:cs="Times New Roman"/>
          <w:b/>
          <w:color w:val="auto"/>
          <w:sz w:val="32"/>
          <w:szCs w:val="32"/>
          <w:highlight w:val="none"/>
          <w:lang w:eastAsia="zh-CN"/>
        </w:rPr>
        <w:t>） 住房公积金（</w:t>
      </w:r>
      <w:r>
        <w:rPr>
          <w:rFonts w:hint="eastAsia" w:ascii="仿宋" w:hAnsi="仿宋" w:eastAsia="仿宋" w:cs="Times New Roman"/>
          <w:b/>
          <w:color w:val="auto"/>
          <w:sz w:val="32"/>
          <w:szCs w:val="32"/>
          <w:highlight w:val="none"/>
          <w:lang w:val="en-US" w:eastAsia="zh-CN"/>
        </w:rPr>
        <w:t>01</w:t>
      </w:r>
      <w:r>
        <w:rPr>
          <w:rFonts w:hint="eastAsia" w:ascii="仿宋" w:hAnsi="仿宋" w:eastAsia="仿宋" w:cs="Times New Roman"/>
          <w:b/>
          <w:color w:val="auto"/>
          <w:sz w:val="32"/>
          <w:szCs w:val="32"/>
          <w:highlight w:val="none"/>
          <w:lang w:eastAsia="zh-CN"/>
        </w:rPr>
        <w:t>）：</w:t>
      </w:r>
      <w:r>
        <w:rPr>
          <w:rStyle w:val="23"/>
          <w:rFonts w:hint="eastAsia" w:ascii="仿宋" w:hAnsi="仿宋" w:eastAsia="仿宋" w:cs="Times New Roman"/>
          <w:b w:val="0"/>
          <w:bCs/>
          <w:color w:val="000000"/>
          <w:sz w:val="32"/>
          <w:szCs w:val="32"/>
        </w:rPr>
        <w:t>支出决算为</w:t>
      </w:r>
      <w:r>
        <w:rPr>
          <w:rStyle w:val="23"/>
          <w:rFonts w:hint="eastAsia" w:ascii="仿宋" w:hAnsi="仿宋" w:eastAsia="仿宋" w:cs="Times New Roman"/>
          <w:b w:val="0"/>
          <w:bCs/>
          <w:color w:val="000000"/>
          <w:sz w:val="32"/>
          <w:szCs w:val="32"/>
          <w:lang w:val="en-US" w:eastAsia="zh-CN"/>
        </w:rPr>
        <w:t>26.38</w:t>
      </w:r>
      <w:r>
        <w:rPr>
          <w:rStyle w:val="23"/>
          <w:rFonts w:hint="eastAsia" w:ascii="仿宋" w:hAnsi="仿宋" w:eastAsia="仿宋" w:cs="Times New Roman"/>
          <w:b w:val="0"/>
          <w:bCs/>
          <w:color w:val="000000"/>
          <w:sz w:val="32"/>
          <w:szCs w:val="32"/>
        </w:rPr>
        <w:t>万元，完成预算</w:t>
      </w:r>
      <w:r>
        <w:rPr>
          <w:rStyle w:val="23"/>
          <w:rFonts w:hint="eastAsia" w:ascii="仿宋" w:hAnsi="仿宋" w:eastAsia="仿宋" w:cs="Times New Roman"/>
          <w:b w:val="0"/>
          <w:bCs/>
          <w:color w:val="000000"/>
          <w:sz w:val="32"/>
          <w:szCs w:val="32"/>
          <w:lang w:val="en-US" w:eastAsia="zh-CN"/>
        </w:rPr>
        <w:t>100.00</w:t>
      </w:r>
      <w:r>
        <w:rPr>
          <w:rStyle w:val="23"/>
          <w:rFonts w:hint="eastAsia" w:ascii="仿宋" w:hAnsi="仿宋" w:eastAsia="仿宋" w:cs="Times New Roman"/>
          <w:b w:val="0"/>
          <w:bCs/>
          <w:color w:val="000000"/>
          <w:sz w:val="32"/>
          <w:szCs w:val="32"/>
        </w:rPr>
        <w:t>%</w:t>
      </w:r>
      <w:r>
        <w:rPr>
          <w:rStyle w:val="23"/>
          <w:rFonts w:hint="eastAsia" w:ascii="仿宋" w:hAnsi="仿宋" w:eastAsia="仿宋" w:cs="Times New Roman"/>
          <w:b w:val="0"/>
          <w:bCs/>
          <w:color w:val="000000"/>
          <w:sz w:val="32"/>
          <w:szCs w:val="32"/>
          <w:lang w:eastAsia="zh-CN"/>
        </w:rPr>
        <w:t>。</w:t>
      </w:r>
    </w:p>
    <w:p>
      <w:pPr>
        <w:tabs>
          <w:tab w:val="right" w:pos="8306"/>
        </w:tabs>
        <w:spacing w:line="600" w:lineRule="exact"/>
        <w:ind w:firstLine="640"/>
        <w:outlineLvl w:val="1"/>
        <w:rPr>
          <w:rStyle w:val="37"/>
          <w:color w:val="auto"/>
          <w:highlight w:val="none"/>
        </w:rPr>
      </w:pPr>
      <w:bookmarkStart w:id="47" w:name="_Toc15396608"/>
      <w:bookmarkStart w:id="48" w:name="_Toc15377214"/>
      <w:bookmarkStart w:id="49" w:name="_Toc4398"/>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37"/>
          <w:rFonts w:hint="eastAsia" w:ascii="黑体" w:hAnsi="黑体" w:eastAsia="黑体"/>
          <w:b w:val="0"/>
          <w:color w:val="auto"/>
          <w:highlight w:val="none"/>
        </w:rPr>
        <w:t>般公共预算财政拨款基本支出决算情况说明</w:t>
      </w:r>
      <w:bookmarkEnd w:id="47"/>
      <w:bookmarkEnd w:id="48"/>
      <w:bookmarkEnd w:id="49"/>
      <w:r>
        <w:rPr>
          <w:rStyle w:val="37"/>
          <w:rFonts w:ascii="黑体" w:hAnsi="黑体" w:eastAsia="黑体"/>
          <w:b w:val="0"/>
          <w:color w:val="auto"/>
          <w:highlight w:val="none"/>
        </w:rPr>
        <w:tab/>
      </w:r>
    </w:p>
    <w:p>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年一般公共预算财政拨款基本支出</w:t>
      </w:r>
      <w:r>
        <w:rPr>
          <w:rFonts w:hint="eastAsia" w:ascii="仿宋" w:hAnsi="仿宋" w:eastAsia="仿宋"/>
          <w:color w:val="auto"/>
          <w:sz w:val="32"/>
          <w:szCs w:val="32"/>
          <w:highlight w:val="none"/>
          <w:lang w:val="en-US" w:eastAsia="zh-CN"/>
        </w:rPr>
        <w:t>348.83</w:t>
      </w:r>
      <w:r>
        <w:rPr>
          <w:rFonts w:hint="eastAsia" w:ascii="仿宋" w:hAnsi="仿宋" w:eastAsia="仿宋"/>
          <w:color w:val="auto"/>
          <w:sz w:val="32"/>
          <w:szCs w:val="32"/>
          <w:highlight w:val="none"/>
        </w:rPr>
        <w:t>万元，其中：</w:t>
      </w:r>
    </w:p>
    <w:p>
      <w:pPr>
        <w:spacing w:line="600" w:lineRule="exact"/>
        <w:ind w:firstLine="645"/>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人员经费</w:t>
      </w:r>
      <w:r>
        <w:rPr>
          <w:rFonts w:hint="eastAsia" w:ascii="仿宋" w:hAnsi="仿宋" w:eastAsia="仿宋"/>
          <w:color w:val="auto"/>
          <w:sz w:val="32"/>
          <w:szCs w:val="32"/>
          <w:highlight w:val="none"/>
          <w:lang w:val="en-US" w:eastAsia="zh-CN"/>
        </w:rPr>
        <w:t>303.91</w:t>
      </w:r>
      <w:r>
        <w:rPr>
          <w:rFonts w:hint="eastAsia" w:ascii="仿宋" w:hAnsi="仿宋" w:eastAsia="仿宋"/>
          <w:color w:val="auto"/>
          <w:sz w:val="32"/>
          <w:szCs w:val="32"/>
          <w:highlight w:val="none"/>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b/>
          <w:color w:val="auto"/>
          <w:sz w:val="32"/>
          <w:szCs w:val="32"/>
          <w:highlight w:val="none"/>
        </w:rPr>
      </w:pPr>
      <w:r>
        <w:rPr>
          <w:rFonts w:hint="eastAsia" w:ascii="仿宋" w:hAnsi="仿宋" w:eastAsia="仿宋"/>
          <w:color w:val="auto"/>
          <w:sz w:val="32"/>
          <w:szCs w:val="32"/>
          <w:highlight w:val="none"/>
        </w:rPr>
        <w:t>公用经费</w:t>
      </w:r>
      <w:r>
        <w:rPr>
          <w:rFonts w:hint="eastAsia" w:ascii="仿宋" w:hAnsi="仿宋" w:eastAsia="仿宋"/>
          <w:color w:val="auto"/>
          <w:sz w:val="32"/>
          <w:szCs w:val="32"/>
          <w:highlight w:val="none"/>
          <w:lang w:val="en-US" w:eastAsia="zh-CN"/>
        </w:rPr>
        <w:t>44.92</w:t>
      </w:r>
      <w:r>
        <w:rPr>
          <w:rFonts w:hint="eastAsia" w:ascii="仿宋" w:hAnsi="仿宋" w:eastAsia="仿宋"/>
          <w:color w:val="auto"/>
          <w:sz w:val="32"/>
          <w:szCs w:val="32"/>
          <w:highlight w:val="none"/>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37"/>
          <w:rFonts w:ascii="黑体" w:hAnsi="黑体" w:eastAsia="黑体"/>
          <w:b w:val="0"/>
          <w:color w:val="auto"/>
          <w:highlight w:val="none"/>
        </w:rPr>
      </w:pPr>
      <w:bookmarkStart w:id="50" w:name="_Toc6487"/>
      <w:bookmarkStart w:id="51" w:name="_Toc15377215"/>
      <w:bookmarkStart w:id="52" w:name="_Toc15396609"/>
      <w:r>
        <w:rPr>
          <w:rFonts w:hint="eastAsia" w:ascii="黑体" w:eastAsia="黑体"/>
          <w:color w:val="auto"/>
          <w:sz w:val="32"/>
          <w:szCs w:val="32"/>
          <w:highlight w:val="none"/>
        </w:rPr>
        <w:t>七、</w:t>
      </w:r>
      <w:r>
        <w:rPr>
          <w:rStyle w:val="37"/>
          <w:rFonts w:hint="eastAsia" w:ascii="黑体" w:hAnsi="黑体" w:eastAsia="黑体"/>
          <w:color w:val="auto"/>
          <w:highlight w:val="none"/>
        </w:rPr>
        <w:t>“</w:t>
      </w:r>
      <w:r>
        <w:rPr>
          <w:rStyle w:val="37"/>
          <w:rFonts w:hint="eastAsia" w:ascii="黑体" w:hAnsi="黑体" w:eastAsia="黑体"/>
          <w:b w:val="0"/>
          <w:color w:val="auto"/>
          <w:highlight w:val="none"/>
        </w:rPr>
        <w:t>三公”经费财政拨款支出决算情况说明</w:t>
      </w:r>
      <w:bookmarkEnd w:id="50"/>
      <w:bookmarkEnd w:id="51"/>
      <w:bookmarkEnd w:id="52"/>
    </w:p>
    <w:p>
      <w:pPr>
        <w:spacing w:line="600" w:lineRule="exact"/>
        <w:ind w:firstLine="640"/>
        <w:outlineLvl w:val="2"/>
        <w:rPr>
          <w:rFonts w:ascii="仿宋" w:hAnsi="仿宋" w:eastAsia="仿宋"/>
          <w:b/>
          <w:color w:val="auto"/>
          <w:sz w:val="32"/>
          <w:szCs w:val="32"/>
          <w:highlight w:val="none"/>
        </w:rPr>
      </w:pPr>
      <w:bookmarkStart w:id="53" w:name="_Toc15377216"/>
      <w:r>
        <w:rPr>
          <w:rFonts w:hint="eastAsia" w:ascii="仿宋" w:hAnsi="仿宋" w:eastAsia="仿宋"/>
          <w:b/>
          <w:color w:val="auto"/>
          <w:sz w:val="32"/>
          <w:szCs w:val="32"/>
          <w:highlight w:val="none"/>
        </w:rPr>
        <w:t>（一）“三公”经费财政拨款支出决算总体情况说明</w:t>
      </w:r>
      <w:bookmarkEnd w:id="53"/>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年“三公”经费财政拨款支出决算为</w:t>
      </w:r>
      <w:r>
        <w:rPr>
          <w:rFonts w:hint="eastAsia" w:ascii="仿宋" w:hAnsi="仿宋" w:eastAsia="仿宋"/>
          <w:color w:val="auto"/>
          <w:sz w:val="32"/>
          <w:szCs w:val="32"/>
          <w:highlight w:val="none"/>
          <w:lang w:val="en-US" w:eastAsia="zh-CN"/>
        </w:rPr>
        <w:t>9.67</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100.00</w:t>
      </w:r>
      <w:r>
        <w:rPr>
          <w:rFonts w:ascii="仿宋" w:hAnsi="仿宋" w:eastAsia="仿宋"/>
          <w:color w:val="auto"/>
          <w:sz w:val="32"/>
          <w:szCs w:val="32"/>
          <w:highlight w:val="none"/>
        </w:rPr>
        <w:t>%</w:t>
      </w:r>
      <w:r>
        <w:rPr>
          <w:rFonts w:hint="eastAsia" w:ascii="仿宋" w:hAnsi="仿宋" w:eastAsia="仿宋"/>
          <w:color w:val="auto"/>
          <w:sz w:val="32"/>
          <w:szCs w:val="32"/>
          <w:highlight w:val="none"/>
          <w:lang w:eastAsia="zh-CN"/>
        </w:rPr>
        <w:t>，决算数</w:t>
      </w:r>
      <w:r>
        <w:rPr>
          <w:rFonts w:hint="eastAsia" w:ascii="仿宋" w:hAnsi="仿宋" w:eastAsia="仿宋"/>
          <w:color w:val="auto"/>
          <w:sz w:val="32"/>
          <w:szCs w:val="32"/>
          <w:highlight w:val="none"/>
          <w:lang w:val="en-US" w:eastAsia="zh-CN"/>
        </w:rPr>
        <w:t>与</w:t>
      </w:r>
      <w:r>
        <w:rPr>
          <w:rFonts w:hint="eastAsia" w:ascii="仿宋" w:hAnsi="仿宋" w:eastAsia="仿宋"/>
          <w:color w:val="auto"/>
          <w:sz w:val="32"/>
          <w:szCs w:val="32"/>
          <w:highlight w:val="none"/>
          <w:lang w:eastAsia="zh-CN"/>
        </w:rPr>
        <w:t>预算数</w:t>
      </w:r>
      <w:r>
        <w:rPr>
          <w:rFonts w:hint="eastAsia" w:ascii="仿宋" w:hAnsi="仿宋" w:eastAsia="仿宋"/>
          <w:color w:val="auto"/>
          <w:sz w:val="32"/>
          <w:szCs w:val="32"/>
          <w:highlight w:val="none"/>
          <w:lang w:val="en-US" w:eastAsia="zh-CN"/>
        </w:rPr>
        <w:t>一致</w:t>
      </w:r>
      <w:r>
        <w:rPr>
          <w:rFonts w:hint="eastAsia" w:ascii="仿宋" w:hAnsi="仿宋" w:eastAsia="仿宋"/>
          <w:color w:val="auto"/>
          <w:sz w:val="32"/>
          <w:szCs w:val="32"/>
          <w:highlight w:val="none"/>
        </w:rPr>
        <w:t>。</w:t>
      </w:r>
    </w:p>
    <w:p>
      <w:pPr>
        <w:spacing w:line="600" w:lineRule="exact"/>
        <w:ind w:firstLine="640"/>
        <w:outlineLvl w:val="2"/>
        <w:rPr>
          <w:rFonts w:ascii="仿宋" w:hAnsi="仿宋" w:eastAsia="仿宋"/>
          <w:b/>
          <w:color w:val="auto"/>
          <w:sz w:val="32"/>
          <w:szCs w:val="32"/>
          <w:highlight w:val="none"/>
        </w:rPr>
      </w:pPr>
      <w:bookmarkStart w:id="54" w:name="_Toc15377217"/>
      <w:r>
        <w:rPr>
          <w:rFonts w:hint="eastAsia" w:ascii="仿宋" w:hAnsi="仿宋" w:eastAsia="仿宋"/>
          <w:b/>
          <w:color w:val="auto"/>
          <w:sz w:val="32"/>
          <w:szCs w:val="32"/>
          <w:highlight w:val="none"/>
        </w:rPr>
        <w:t>（二）“三公”经费财政拨款支出决算具体情况说明</w:t>
      </w:r>
      <w:bookmarkEnd w:id="54"/>
    </w:p>
    <w:p>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0.00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0.00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8.47</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87.50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1.21</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12.50</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sz w:val="32"/>
          <w:szCs w:val="32"/>
        </w:rPr>
      </w:pPr>
      <w:r>
        <w:rPr>
          <w:rFonts w:hint="eastAsia" w:ascii="仿宋" w:hAnsi="仿宋" w:eastAsia="仿宋"/>
          <w:color w:val="auto"/>
          <w:sz w:val="32"/>
          <w:szCs w:val="32"/>
          <w:highlight w:val="none"/>
          <w:lang w:eastAsia="zh-CN"/>
        </w:rPr>
        <w:drawing>
          <wp:inline distT="0" distB="0" distL="114300" distR="114300">
            <wp:extent cx="5747385" cy="3982720"/>
            <wp:effectExtent l="4445" t="4445" r="20320" b="13335"/>
            <wp:docPr id="1" name="图表 1"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ind w:firstLine="640"/>
      </w:pPr>
      <w:r>
        <w:rPr>
          <w:rFonts w:hint="eastAsia" w:ascii="仿宋" w:hAnsi="仿宋" w:eastAsia="仿宋"/>
          <w:sz w:val="32"/>
          <w:szCs w:val="32"/>
        </w:rPr>
        <w:t>（图7：“三公”经费财政拨款支出结构）（饼状图）</w:t>
      </w:r>
    </w:p>
    <w:p>
      <w:pPr>
        <w:spacing w:line="600" w:lineRule="exact"/>
        <w:ind w:firstLine="643" w:firstLineChars="20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 w:hAnsi="仿宋" w:eastAsia="仿宋"/>
          <w:color w:val="auto"/>
          <w:sz w:val="32"/>
          <w:szCs w:val="32"/>
          <w:highlight w:val="none"/>
          <w:lang w:val="en-US" w:eastAsia="zh-CN"/>
        </w:rPr>
        <w:t>0.00</w:t>
      </w:r>
      <w:r>
        <w:rPr>
          <w:rFonts w:hint="eastAsia" w:ascii="仿宋_GB2312" w:eastAsia="仿宋_GB2312"/>
          <w:color w:val="auto"/>
          <w:sz w:val="32"/>
          <w:szCs w:val="32"/>
          <w:highlight w:val="none"/>
        </w:rPr>
        <w:t>万元，</w:t>
      </w:r>
      <w:r>
        <w:rPr>
          <w:rStyle w:val="23"/>
          <w:rFonts w:hint="eastAsia" w:ascii="仿宋" w:hAnsi="仿宋" w:eastAsia="仿宋"/>
          <w:b w:val="0"/>
          <w:bCs/>
          <w:color w:val="auto"/>
          <w:sz w:val="32"/>
          <w:szCs w:val="32"/>
          <w:highlight w:val="none"/>
        </w:rPr>
        <w:t>完成预算</w:t>
      </w:r>
      <w:r>
        <w:rPr>
          <w:rFonts w:hint="eastAsia" w:ascii="仿宋" w:hAnsi="仿宋" w:eastAsia="仿宋"/>
          <w:color w:val="auto"/>
          <w:sz w:val="32"/>
          <w:szCs w:val="32"/>
          <w:highlight w:val="none"/>
          <w:lang w:val="en-US" w:eastAsia="zh-CN"/>
        </w:rPr>
        <w:t>100.00</w:t>
      </w:r>
      <w:r>
        <w:rPr>
          <w:rStyle w:val="23"/>
          <w:rFonts w:ascii="仿宋" w:hAnsi="仿宋" w:eastAsia="仿宋"/>
          <w:b w:val="0"/>
          <w:bCs/>
          <w:color w:val="auto"/>
          <w:sz w:val="32"/>
          <w:szCs w:val="32"/>
          <w:highlight w:val="none"/>
        </w:rPr>
        <w:t>%</w:t>
      </w:r>
      <w:r>
        <w:rPr>
          <w:rStyle w:val="23"/>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w:t>
      </w:r>
      <w:r>
        <w:rPr>
          <w:rFonts w:hint="eastAsia" w:ascii="仿宋_GB2312" w:eastAsia="仿宋_GB2312"/>
          <w:color w:val="auto"/>
          <w:sz w:val="32"/>
          <w:szCs w:val="32"/>
          <w:highlight w:val="none"/>
          <w:lang w:val="en-US" w:eastAsia="zh-CN"/>
        </w:rPr>
        <w:t>与</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持平</w:t>
      </w:r>
      <w:r>
        <w:rPr>
          <w:rFonts w:hint="eastAsia" w:ascii="仿宋_GB2312" w:eastAsia="仿宋_GB2312"/>
          <w:color w:val="auto"/>
          <w:sz w:val="32"/>
          <w:szCs w:val="32"/>
          <w:highlight w:val="none"/>
        </w:rPr>
        <w:t>。</w:t>
      </w:r>
    </w:p>
    <w:p>
      <w:pPr>
        <w:spacing w:line="600" w:lineRule="exact"/>
        <w:ind w:firstLine="640"/>
        <w:rPr>
          <w:rFonts w:hint="default" w:ascii="仿宋_GB2312" w:eastAsia="仿宋"/>
          <w:b/>
          <w:color w:val="auto"/>
          <w:sz w:val="32"/>
          <w:szCs w:val="32"/>
          <w:highlight w:val="none"/>
          <w:lang w:val="en-US" w:eastAsia="zh-CN"/>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 w:hAnsi="仿宋" w:eastAsia="仿宋"/>
          <w:color w:val="auto"/>
          <w:sz w:val="32"/>
          <w:szCs w:val="32"/>
          <w:highlight w:val="none"/>
          <w:lang w:val="en-US" w:eastAsia="zh-CN"/>
        </w:rPr>
        <w:t>8.47</w:t>
      </w:r>
      <w:r>
        <w:rPr>
          <w:rFonts w:hint="eastAsia" w:ascii="仿宋_GB2312" w:eastAsia="仿宋_GB2312"/>
          <w:color w:val="auto"/>
          <w:sz w:val="32"/>
          <w:szCs w:val="32"/>
          <w:highlight w:val="none"/>
        </w:rPr>
        <w:t>万元,</w:t>
      </w:r>
      <w:r>
        <w:rPr>
          <w:rStyle w:val="23"/>
          <w:rFonts w:hint="eastAsia" w:ascii="仿宋" w:hAnsi="仿宋" w:eastAsia="仿宋"/>
          <w:b w:val="0"/>
          <w:bCs/>
          <w:color w:val="auto"/>
          <w:sz w:val="32"/>
          <w:szCs w:val="32"/>
          <w:highlight w:val="none"/>
        </w:rPr>
        <w:t>完成预算</w:t>
      </w:r>
      <w:r>
        <w:rPr>
          <w:rStyle w:val="23"/>
          <w:rFonts w:hint="eastAsia" w:ascii="仿宋" w:hAnsi="仿宋" w:eastAsia="仿宋"/>
          <w:b w:val="0"/>
          <w:bCs/>
          <w:color w:val="auto"/>
          <w:sz w:val="32"/>
          <w:szCs w:val="32"/>
          <w:highlight w:val="none"/>
          <w:lang w:val="en-US" w:eastAsia="zh-CN"/>
        </w:rPr>
        <w:t>100.00</w:t>
      </w:r>
      <w:r>
        <w:rPr>
          <w:rStyle w:val="23"/>
          <w:rFonts w:ascii="仿宋" w:hAnsi="仿宋" w:eastAsia="仿宋"/>
          <w:b w:val="0"/>
          <w:bCs/>
          <w:color w:val="auto"/>
          <w:sz w:val="32"/>
          <w:szCs w:val="32"/>
          <w:highlight w:val="none"/>
        </w:rPr>
        <w:t>%</w:t>
      </w:r>
      <w:r>
        <w:rPr>
          <w:rStyle w:val="23"/>
          <w:rFonts w:hint="eastAsia" w:ascii="仿宋" w:hAnsi="仿宋" w:eastAsia="仿宋"/>
          <w:b w:val="0"/>
          <w:bCs/>
          <w:color w:val="auto"/>
          <w:sz w:val="32"/>
          <w:szCs w:val="32"/>
          <w:highlight w:val="none"/>
          <w:lang w:val="en-US" w:eastAsia="zh-CN"/>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相比增加8.47万元，增长847.00%</w:t>
      </w:r>
      <w:r>
        <w:rPr>
          <w:rStyle w:val="23"/>
          <w:rFonts w:hint="eastAsia" w:ascii="仿宋" w:hAnsi="仿宋" w:eastAsia="仿宋"/>
          <w:b w:val="0"/>
          <w:bCs/>
          <w:color w:val="auto"/>
          <w:sz w:val="32"/>
          <w:szCs w:val="32"/>
          <w:highlight w:val="none"/>
        </w:rPr>
        <w:t>。</w:t>
      </w:r>
      <w:r>
        <w:rPr>
          <w:rStyle w:val="23"/>
          <w:rFonts w:hint="eastAsia" w:ascii="仿宋" w:hAnsi="仿宋" w:eastAsia="仿宋"/>
          <w:b w:val="0"/>
          <w:bCs/>
          <w:color w:val="auto"/>
          <w:sz w:val="32"/>
          <w:szCs w:val="32"/>
          <w:highlight w:val="none"/>
          <w:lang w:val="en-US" w:eastAsia="zh-CN"/>
        </w:rPr>
        <w:t>主要变动原因是本年度三公经费确为此，上年度填写错误，差异过大。</w:t>
      </w:r>
    </w:p>
    <w:p>
      <w:pPr>
        <w:spacing w:line="600" w:lineRule="exact"/>
        <w:ind w:firstLine="640" w:firstLineChars="200"/>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、其他车型</w:t>
      </w:r>
      <w:r>
        <w:rPr>
          <w:rFonts w:hint="eastAsia" w:ascii="仿宋_GB2312" w:eastAsia="仿宋_GB2312"/>
          <w:color w:val="auto"/>
          <w:sz w:val="32"/>
          <w:szCs w:val="32"/>
          <w:highlight w:val="none"/>
          <w:lang w:val="en-US" w:eastAsia="zh-CN"/>
        </w:rPr>
        <w:t>2辆</w:t>
      </w:r>
      <w:r>
        <w:rPr>
          <w:rFonts w:hint="eastAsia" w:ascii="仿宋_GB2312" w:eastAsia="仿宋_GB2312"/>
          <w:color w:val="auto"/>
          <w:sz w:val="32"/>
          <w:szCs w:val="32"/>
          <w:highlight w:val="none"/>
        </w:rPr>
        <w:t>。</w:t>
      </w:r>
    </w:p>
    <w:p>
      <w:pPr>
        <w:spacing w:line="600" w:lineRule="exact"/>
        <w:ind w:firstLine="640"/>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8.47</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主要用于</w:t>
      </w:r>
      <w:r>
        <w:rPr>
          <w:rFonts w:hint="eastAsia" w:ascii="仿宋_GB2312" w:eastAsia="仿宋_GB2312"/>
          <w:color w:val="auto"/>
          <w:sz w:val="32"/>
          <w:szCs w:val="32"/>
          <w:highlight w:val="none"/>
          <w:lang w:val="en-US" w:eastAsia="zh-CN"/>
        </w:rPr>
        <w:t>办公出行</w:t>
      </w:r>
      <w:r>
        <w:rPr>
          <w:rFonts w:hint="eastAsia" w:ascii="仿宋_GB2312" w:eastAsia="仿宋_GB2312"/>
          <w:color w:val="auto"/>
          <w:sz w:val="32"/>
          <w:szCs w:val="32"/>
          <w:highlight w:val="none"/>
        </w:rPr>
        <w:t>等所需的公务用车燃料费、维修费、过路过桥费、保险费等支出。</w:t>
      </w:r>
    </w:p>
    <w:p>
      <w:pPr>
        <w:numPr>
          <w:ilvl w:val="0"/>
          <w:numId w:val="5"/>
        </w:numPr>
        <w:spacing w:line="600" w:lineRule="exact"/>
        <w:ind w:firstLine="640"/>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1.21</w:t>
      </w:r>
      <w:r>
        <w:rPr>
          <w:rFonts w:hint="eastAsia" w:ascii="仿宋_GB2312" w:eastAsia="仿宋_GB2312"/>
          <w:color w:val="auto"/>
          <w:sz w:val="32"/>
          <w:szCs w:val="32"/>
          <w:highlight w:val="none"/>
        </w:rPr>
        <w:t>万元，</w:t>
      </w:r>
      <w:r>
        <w:rPr>
          <w:rStyle w:val="23"/>
          <w:rFonts w:hint="eastAsia" w:ascii="仿宋" w:hAnsi="仿宋" w:eastAsia="仿宋"/>
          <w:b w:val="0"/>
          <w:bCs/>
          <w:color w:val="auto"/>
          <w:sz w:val="32"/>
          <w:szCs w:val="32"/>
          <w:highlight w:val="none"/>
        </w:rPr>
        <w:t>完成预算</w:t>
      </w:r>
      <w:r>
        <w:rPr>
          <w:rStyle w:val="23"/>
          <w:rFonts w:hint="eastAsia" w:ascii="仿宋" w:hAnsi="仿宋" w:eastAsia="仿宋"/>
          <w:b w:val="0"/>
          <w:bCs/>
          <w:color w:val="auto"/>
          <w:sz w:val="32"/>
          <w:szCs w:val="32"/>
          <w:highlight w:val="none"/>
          <w:lang w:val="en-US" w:eastAsia="zh-CN"/>
        </w:rPr>
        <w:t>100.00</w:t>
      </w:r>
      <w:r>
        <w:rPr>
          <w:rStyle w:val="23"/>
          <w:rFonts w:ascii="仿宋" w:hAnsi="仿宋" w:eastAsia="仿宋"/>
          <w:b w:val="0"/>
          <w:bCs/>
          <w:color w:val="auto"/>
          <w:sz w:val="32"/>
          <w:szCs w:val="32"/>
          <w:highlight w:val="none"/>
        </w:rPr>
        <w:t>%</w:t>
      </w:r>
      <w:r>
        <w:rPr>
          <w:rStyle w:val="23"/>
          <w:rFonts w:hint="eastAsia" w:ascii="仿宋" w:hAnsi="仿宋" w:eastAsia="仿宋"/>
          <w:b w:val="0"/>
          <w:bCs/>
          <w:color w:val="auto"/>
          <w:sz w:val="32"/>
          <w:szCs w:val="32"/>
          <w:highlight w:val="none"/>
          <w:lang w:val="en-US" w:eastAsia="zh-CN"/>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相比增加1.01万元，增长503.95%</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主要变动原因是本年度接待增加。</w:t>
      </w:r>
    </w:p>
    <w:p>
      <w:pPr>
        <w:spacing w:line="600" w:lineRule="exact"/>
        <w:ind w:firstLine="640"/>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_GB2312" w:eastAsia="仿宋_GB2312"/>
          <w:color w:val="auto"/>
          <w:sz w:val="32"/>
          <w:szCs w:val="32"/>
          <w:highlight w:val="none"/>
          <w:lang w:val="en-US" w:eastAsia="zh-CN"/>
        </w:rPr>
        <w:t>1.21</w:t>
      </w:r>
      <w:r>
        <w:rPr>
          <w:rFonts w:hint="eastAsia" w:ascii="仿宋_GB2312" w:eastAsia="仿宋_GB2312"/>
          <w:color w:val="auto"/>
          <w:sz w:val="32"/>
          <w:szCs w:val="32"/>
          <w:highlight w:val="none"/>
        </w:rPr>
        <w:t>万元。国内公务接待</w:t>
      </w:r>
      <w:r>
        <w:rPr>
          <w:rFonts w:hint="eastAsia" w:ascii="仿宋_GB2312" w:eastAsia="仿宋_GB2312"/>
          <w:color w:val="auto"/>
          <w:sz w:val="32"/>
          <w:szCs w:val="32"/>
          <w:highlight w:val="none"/>
          <w:lang w:val="en-US" w:eastAsia="zh-CN"/>
        </w:rPr>
        <w:t>13</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142</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1.21</w:t>
      </w:r>
      <w:r>
        <w:rPr>
          <w:rFonts w:hint="eastAsia" w:ascii="仿宋_GB2312" w:eastAsia="仿宋_GB2312"/>
          <w:color w:val="auto"/>
          <w:sz w:val="32"/>
          <w:szCs w:val="32"/>
          <w:highlight w:val="none"/>
        </w:rPr>
        <w:t>万元。</w:t>
      </w:r>
    </w:p>
    <w:p>
      <w:pPr>
        <w:spacing w:line="600" w:lineRule="exact"/>
        <w:ind w:firstLine="643" w:firstLineChars="200"/>
        <w:rPr>
          <w:rFonts w:ascii="黑体" w:eastAsia="黑体"/>
          <w:color w:val="auto"/>
          <w:sz w:val="32"/>
          <w:szCs w:val="32"/>
          <w:highlight w:val="none"/>
        </w:rPr>
      </w:pPr>
      <w:r>
        <w:rPr>
          <w:rFonts w:hint="eastAsia" w:ascii="仿宋" w:hAnsi="仿宋" w:eastAsia="仿宋"/>
          <w:b/>
          <w:color w:val="auto"/>
          <w:sz w:val="32"/>
          <w:szCs w:val="32"/>
          <w:highlight w:val="none"/>
        </w:rPr>
        <w:t>外事接待支出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人，共计支出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bookmarkStart w:id="55" w:name="_Toc15377218"/>
      <w:bookmarkStart w:id="56" w:name="_Toc15396610"/>
    </w:p>
    <w:p>
      <w:pPr>
        <w:spacing w:line="600" w:lineRule="exact"/>
        <w:ind w:firstLine="640"/>
        <w:outlineLvl w:val="1"/>
        <w:rPr>
          <w:rStyle w:val="37"/>
          <w:rFonts w:ascii="黑体" w:hAnsi="黑体" w:eastAsia="黑体"/>
          <w:color w:val="auto"/>
          <w:highlight w:val="none"/>
        </w:rPr>
      </w:pPr>
      <w:bookmarkStart w:id="57" w:name="_Toc27637"/>
      <w:r>
        <w:rPr>
          <w:rFonts w:hint="eastAsia" w:ascii="黑体" w:eastAsia="黑体"/>
          <w:color w:val="auto"/>
          <w:sz w:val="32"/>
          <w:szCs w:val="32"/>
          <w:highlight w:val="none"/>
        </w:rPr>
        <w:t>八、</w:t>
      </w:r>
      <w:r>
        <w:rPr>
          <w:rStyle w:val="37"/>
          <w:rFonts w:hint="eastAsia" w:ascii="黑体" w:hAnsi="黑体" w:eastAsia="黑体"/>
          <w:b w:val="0"/>
          <w:color w:val="auto"/>
          <w:highlight w:val="none"/>
        </w:rPr>
        <w:t>政府性基金预算支出决算情况说明</w:t>
      </w:r>
      <w:bookmarkEnd w:id="55"/>
      <w:bookmarkEnd w:id="56"/>
      <w:bookmarkEnd w:id="57"/>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p>
    <w:p>
      <w:pPr>
        <w:numPr>
          <w:ilvl w:val="0"/>
          <w:numId w:val="6"/>
        </w:numPr>
        <w:spacing w:line="600" w:lineRule="exact"/>
        <w:ind w:firstLine="640"/>
        <w:outlineLvl w:val="1"/>
        <w:rPr>
          <w:rStyle w:val="37"/>
          <w:rFonts w:ascii="黑体" w:hAnsi="黑体" w:eastAsia="黑体"/>
          <w:b w:val="0"/>
          <w:color w:val="auto"/>
          <w:highlight w:val="none"/>
        </w:rPr>
      </w:pPr>
      <w:bookmarkStart w:id="58" w:name="_Toc24250"/>
      <w:bookmarkStart w:id="59" w:name="_Toc15396611"/>
      <w:bookmarkStart w:id="60" w:name="_Toc15377219"/>
      <w:r>
        <w:rPr>
          <w:rStyle w:val="37"/>
          <w:rFonts w:hint="eastAsia" w:ascii="黑体" w:hAnsi="黑体" w:eastAsia="黑体"/>
          <w:b w:val="0"/>
          <w:color w:val="auto"/>
          <w:highlight w:val="none"/>
        </w:rPr>
        <w:t>国有资本经营预算支出决算情况说明</w:t>
      </w:r>
      <w:bookmarkEnd w:id="58"/>
      <w:bookmarkEnd w:id="59"/>
      <w:bookmarkEnd w:id="60"/>
    </w:p>
    <w:p>
      <w:pPr>
        <w:spacing w:line="600" w:lineRule="exact"/>
        <w:ind w:firstLine="640"/>
        <w:rPr>
          <w:rFonts w:ascii="方正小标宋简体" w:hAnsi="方正小标宋简体" w:eastAsia="方正小标宋简体" w:cs="方正小标宋简体"/>
          <w:color w:val="auto"/>
          <w:sz w:val="44"/>
          <w:szCs w:val="44"/>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p>
    <w:p>
      <w:pPr>
        <w:numPr>
          <w:ilvl w:val="0"/>
          <w:numId w:val="6"/>
        </w:numPr>
        <w:spacing w:line="600" w:lineRule="exact"/>
        <w:ind w:firstLine="640"/>
        <w:outlineLvl w:val="1"/>
        <w:rPr>
          <w:rStyle w:val="37"/>
          <w:rFonts w:hint="eastAsia" w:ascii="黑体" w:hAnsi="黑体" w:eastAsia="黑体"/>
          <w:b w:val="0"/>
          <w:color w:val="auto"/>
          <w:highlight w:val="none"/>
        </w:rPr>
      </w:pPr>
      <w:bookmarkStart w:id="61" w:name="_Toc15377221"/>
      <w:bookmarkStart w:id="62" w:name="_Toc695"/>
      <w:bookmarkStart w:id="63" w:name="_Toc15396612"/>
      <w:r>
        <w:rPr>
          <w:rStyle w:val="37"/>
          <w:rFonts w:hint="eastAsia" w:ascii="黑体" w:hAnsi="黑体" w:eastAsia="黑体"/>
          <w:b w:val="0"/>
          <w:color w:val="auto"/>
          <w:highlight w:val="none"/>
        </w:rPr>
        <w:t>其他重要事项的情况说明</w:t>
      </w:r>
      <w:bookmarkEnd w:id="61"/>
      <w:bookmarkEnd w:id="62"/>
      <w:bookmarkEnd w:id="63"/>
    </w:p>
    <w:p>
      <w:pPr>
        <w:spacing w:line="600" w:lineRule="exact"/>
        <w:ind w:firstLine="643" w:firstLineChars="200"/>
        <w:outlineLvl w:val="2"/>
        <w:rPr>
          <w:rFonts w:ascii="仿宋" w:hAnsi="仿宋" w:eastAsia="仿宋"/>
          <w:color w:val="auto"/>
          <w:sz w:val="32"/>
          <w:szCs w:val="32"/>
          <w:highlight w:val="none"/>
        </w:rPr>
      </w:pPr>
      <w:bookmarkStart w:id="64" w:name="_Toc15377222"/>
      <w:r>
        <w:rPr>
          <w:rFonts w:hint="eastAsia" w:ascii="仿宋" w:hAnsi="仿宋" w:eastAsia="仿宋"/>
          <w:b/>
          <w:color w:val="auto"/>
          <w:sz w:val="32"/>
          <w:szCs w:val="32"/>
          <w:highlight w:val="none"/>
        </w:rPr>
        <w:t>（一）机关运行经费支出情况</w:t>
      </w:r>
      <w:bookmarkEnd w:id="64"/>
    </w:p>
    <w:p>
      <w:pPr>
        <w:spacing w:line="600" w:lineRule="exact"/>
        <w:ind w:firstLine="640" w:firstLineChars="200"/>
        <w:rPr>
          <w:rFonts w:hint="eastAsia" w:ascii="仿宋_GB2312" w:eastAsia="仿宋_GB2312"/>
          <w:color w:val="FF0000"/>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乐山市沙湾区妇幼计生服务中心</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持平。</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65" w:name="_Toc15377223"/>
      <w:r>
        <w:rPr>
          <w:rFonts w:hint="eastAsia" w:ascii="仿宋" w:hAnsi="仿宋" w:eastAsia="仿宋"/>
          <w:b/>
          <w:color w:val="auto"/>
          <w:sz w:val="32"/>
          <w:szCs w:val="32"/>
          <w:highlight w:val="none"/>
        </w:rPr>
        <w:t>（二）政府采购支出情况</w:t>
      </w:r>
      <w:bookmarkEnd w:id="65"/>
    </w:p>
    <w:p>
      <w:pPr>
        <w:spacing w:line="60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乐山市沙湾区妇幼计生服务中心</w:t>
      </w:r>
      <w:r>
        <w:rPr>
          <w:rFonts w:hint="eastAsia" w:ascii="仿宋_GB2312" w:eastAsia="仿宋_GB2312"/>
          <w:color w:val="auto"/>
          <w:sz w:val="32"/>
          <w:szCs w:val="32"/>
          <w:highlight w:val="none"/>
        </w:rPr>
        <w:t>采购支出总额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万元，其中：政府采购货物支</w:t>
      </w:r>
      <w:r>
        <w:rPr>
          <w:rFonts w:hint="eastAsia" w:ascii="仿宋_GB2312" w:eastAsia="仿宋_GB2312"/>
          <w:color w:val="auto"/>
          <w:sz w:val="32"/>
          <w:szCs w:val="32"/>
          <w:highlight w:val="none"/>
          <w:lang w:val="en-US" w:eastAsia="zh-CN"/>
        </w:rPr>
        <w:t>出0.00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万元。授予中小企业合同金额</w:t>
      </w:r>
      <w:r>
        <w:rPr>
          <w:rFonts w:hint="eastAsia" w:ascii="仿宋_GB2312" w:eastAsia="仿宋_GB2312"/>
          <w:color w:val="auto"/>
          <w:sz w:val="32"/>
          <w:szCs w:val="32"/>
          <w:highlight w:val="none"/>
          <w:lang w:val="en-US" w:eastAsia="zh-CN"/>
        </w:rPr>
        <w:t>0.00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0.00</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66" w:name="_Toc15377224"/>
      <w:r>
        <w:rPr>
          <w:rFonts w:hint="eastAsia" w:ascii="仿宋" w:hAnsi="仿宋" w:eastAsia="仿宋"/>
          <w:b/>
          <w:color w:val="auto"/>
          <w:sz w:val="32"/>
          <w:szCs w:val="32"/>
          <w:highlight w:val="none"/>
        </w:rPr>
        <w:t>（三）国有资产占有使用情况</w:t>
      </w:r>
      <w:bookmarkEnd w:id="66"/>
    </w:p>
    <w:p>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乐山市沙湾区妇幼计生服务中心</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辆、执法执勤用车</w:t>
      </w:r>
      <w:r>
        <w:rPr>
          <w:rFonts w:hint="eastAsia" w:ascii="仿宋_GB2312" w:eastAsia="仿宋_GB2312"/>
          <w:color w:val="auto"/>
          <w:sz w:val="32"/>
          <w:szCs w:val="32"/>
          <w:highlight w:val="none"/>
          <w:lang w:val="en-US" w:eastAsia="zh-CN"/>
        </w:rPr>
        <w:t>0辆，特种专业技术用车0辆，离退休干部用车0辆，</w:t>
      </w:r>
      <w:r>
        <w:rPr>
          <w:rFonts w:hint="eastAsia" w:ascii="仿宋_GB2312" w:eastAsia="仿宋_GB2312"/>
          <w:color w:val="auto"/>
          <w:sz w:val="32"/>
          <w:szCs w:val="32"/>
          <w:highlight w:val="none"/>
        </w:rPr>
        <w:t>其他用车</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其他用车主要是用于</w:t>
      </w:r>
      <w:r>
        <w:rPr>
          <w:rFonts w:hint="eastAsia" w:ascii="仿宋_GB2312" w:eastAsia="仿宋_GB2312"/>
          <w:color w:val="auto"/>
          <w:sz w:val="32"/>
          <w:szCs w:val="32"/>
          <w:highlight w:val="none"/>
          <w:lang w:val="en-US" w:eastAsia="zh-CN"/>
        </w:rPr>
        <w:t>办公使用，</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50</w:t>
      </w:r>
      <w:r>
        <w:rPr>
          <w:rFonts w:hint="eastAsia" w:ascii="仿宋_GB2312" w:eastAsia="仿宋_GB2312"/>
          <w:color w:val="auto"/>
          <w:sz w:val="32"/>
          <w:szCs w:val="32"/>
          <w:highlight w:val="none"/>
        </w:rPr>
        <w:t>万元以上通用设备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pPr>
        <w:autoSpaceDE w:val="0"/>
        <w:autoSpaceDN w:val="0"/>
        <w:adjustRightInd w:val="0"/>
        <w:spacing w:line="600" w:lineRule="exact"/>
        <w:ind w:firstLine="643" w:firstLineChars="200"/>
        <w:jc w:val="left"/>
        <w:outlineLvl w:val="2"/>
        <w:rPr>
          <w:rFonts w:hint="eastAsia" w:ascii="仿宋" w:hAnsi="仿宋" w:eastAsia="仿宋"/>
          <w:b/>
          <w:color w:val="auto"/>
          <w:sz w:val="32"/>
          <w:szCs w:val="32"/>
          <w:highlight w:val="none"/>
          <w:lang w:eastAsia="zh-CN"/>
        </w:rPr>
      </w:pPr>
      <w:r>
        <w:rPr>
          <w:rFonts w:hint="eastAsia" w:ascii="仿宋" w:hAnsi="仿宋" w:eastAsia="仿宋"/>
          <w:b/>
          <w:color w:val="auto"/>
          <w:sz w:val="32"/>
          <w:szCs w:val="32"/>
          <w:highlight w:val="none"/>
        </w:rPr>
        <w:t>（四）预算绩效管理情况</w:t>
      </w:r>
    </w:p>
    <w:p>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根据预算绩效管理要求，本单位在</w:t>
      </w:r>
      <w:r>
        <w:rPr>
          <w:rFonts w:hint="eastAsia" w:ascii="仿宋_GB2312" w:hAnsi="仿宋_GB2312" w:eastAsia="仿宋_GB2312" w:cs="仿宋_GB2312"/>
          <w:color w:val="auto"/>
          <w:sz w:val="32"/>
          <w:szCs w:val="32"/>
          <w:highlight w:val="none"/>
          <w:lang w:val="en-US" w:eastAsia="zh-CN"/>
        </w:rPr>
        <w:t>2021年度</w:t>
      </w:r>
      <w:r>
        <w:rPr>
          <w:rFonts w:hint="eastAsia" w:ascii="仿宋_GB2312" w:hAnsi="仿宋_GB2312" w:eastAsia="仿宋_GB2312" w:cs="仿宋_GB2312"/>
          <w:color w:val="auto"/>
          <w:sz w:val="32"/>
          <w:szCs w:val="32"/>
          <w:highlight w:val="none"/>
        </w:rPr>
        <w:t>预算编制阶段，组织</w:t>
      </w:r>
      <w:r>
        <w:rPr>
          <w:rFonts w:hint="eastAsia" w:ascii="仿宋_GB2312" w:hAnsi="仿宋_GB2312" w:eastAsia="仿宋_GB2312" w:cs="仿宋_GB2312"/>
          <w:color w:val="auto"/>
          <w:sz w:val="32"/>
          <w:szCs w:val="32"/>
          <w:highlight w:val="none"/>
          <w:lang w:val="en-US" w:eastAsia="zh-CN"/>
        </w:rPr>
        <w:t>对201806-2018年全民健康保障工程中央预算内基建投资（妇幼保健和计生中心综合楼建设）、2019006-医疗服务能力提升公立医院综合改革等23个项目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23</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个项目开展绩效监控，年终执行完毕后，对</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个项目开展了绩效自评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2021年特定目标类部门预算项目绩效目标自评表见附件（第四部分）</w:t>
      </w:r>
      <w:r>
        <w:rPr>
          <w:rFonts w:hint="eastAsia" w:ascii="仿宋_GB2312" w:hAnsi="仿宋_GB2312" w:eastAsia="仿宋_GB2312" w:cs="仿宋_GB2312"/>
          <w:color w:val="auto"/>
          <w:sz w:val="32"/>
          <w:szCs w:val="32"/>
          <w:highlight w:val="none"/>
        </w:rPr>
        <w:t>。</w:t>
      </w:r>
    </w:p>
    <w:p>
      <w:pPr>
        <w:pStyle w:val="7"/>
        <w:rPr>
          <w:highlight w:val="yellow"/>
        </w:rPr>
      </w:pPr>
    </w:p>
    <w:p>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pPr>
        <w:numPr>
          <w:ilvl w:val="0"/>
          <w:numId w:val="7"/>
        </w:numPr>
        <w:spacing w:line="600" w:lineRule="exact"/>
        <w:ind w:firstLine="660" w:firstLineChars="150"/>
        <w:jc w:val="center"/>
        <w:outlineLvl w:val="0"/>
        <w:rPr>
          <w:rStyle w:val="36"/>
          <w:rFonts w:ascii="黑体" w:hAnsi="黑体" w:eastAsia="黑体"/>
          <w:b w:val="0"/>
          <w:color w:val="auto"/>
          <w:highlight w:val="none"/>
        </w:rPr>
      </w:pPr>
      <w:bookmarkStart w:id="67" w:name="_Toc15377225"/>
      <w:bookmarkStart w:id="68" w:name="_Toc11596"/>
      <w:bookmarkStart w:id="69" w:name="_Toc15396613"/>
      <w:r>
        <w:rPr>
          <w:rFonts w:hint="eastAsia" w:ascii="黑体" w:hAnsi="黑体" w:eastAsia="黑体"/>
          <w:color w:val="auto"/>
          <w:sz w:val="44"/>
          <w:szCs w:val="44"/>
          <w:highlight w:val="none"/>
        </w:rPr>
        <w:t>名</w:t>
      </w:r>
      <w:r>
        <w:rPr>
          <w:rStyle w:val="36"/>
          <w:rFonts w:hint="eastAsia" w:ascii="黑体" w:hAnsi="黑体" w:eastAsia="黑体"/>
          <w:b w:val="0"/>
          <w:color w:val="auto"/>
          <w:highlight w:val="none"/>
        </w:rPr>
        <w:t>词解释</w:t>
      </w:r>
      <w:bookmarkEnd w:id="67"/>
      <w:bookmarkEnd w:id="68"/>
      <w:bookmarkEnd w:id="69"/>
    </w:p>
    <w:p>
      <w:pPr>
        <w:spacing w:line="600" w:lineRule="exact"/>
        <w:jc w:val="left"/>
        <w:rPr>
          <w:rFonts w:ascii="宋体"/>
          <w:b/>
          <w:color w:val="auto"/>
          <w:sz w:val="44"/>
          <w:szCs w:val="44"/>
          <w:highlight w:val="none"/>
        </w:rPr>
      </w:pPr>
    </w:p>
    <w:p>
      <w:pPr>
        <w:pStyle w:val="34"/>
        <w:numPr>
          <w:ilvl w:val="0"/>
          <w:numId w:val="8"/>
        </w:num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财政拨款收入：指单位从同级财政部门取得的财政预算资金。</w:t>
      </w:r>
    </w:p>
    <w:p>
      <w:pPr>
        <w:pStyle w:val="34"/>
        <w:numPr>
          <w:ilvl w:val="0"/>
          <w:numId w:val="0"/>
        </w:numPr>
        <w:spacing w:line="560" w:lineRule="exact"/>
        <w:ind w:firstLine="640" w:firstLineChars="200"/>
        <w:rPr>
          <w:rFonts w:ascii="仿宋_GB2312" w:eastAsia="仿宋_GB2312"/>
          <w:color w:val="FF0000"/>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pPr>
        <w:pStyle w:val="34"/>
        <w:spacing w:line="560" w:lineRule="exact"/>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pPr>
        <w:pStyle w:val="34"/>
        <w:spacing w:line="560" w:lineRule="exact"/>
        <w:ind w:firstLine="640" w:firstLineChars="200"/>
        <w:rPr>
          <w:rFonts w:hint="eastAsia"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4.上级补助收入：指事业单位从主管部门和上级单位取得的非财政补助收入。</w:t>
      </w:r>
    </w:p>
    <w:p>
      <w:pPr>
        <w:pStyle w:val="34"/>
        <w:spacing w:line="560" w:lineRule="exact"/>
        <w:ind w:firstLine="640" w:firstLineChars="200"/>
        <w:rPr>
          <w:rFonts w:hint="default"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5.附属单位上缴收入：指事业单位附属独立核算单位按照有关规定上缴的收入。</w:t>
      </w:r>
    </w:p>
    <w:p>
      <w:pPr>
        <w:pStyle w:val="34"/>
        <w:spacing w:line="560" w:lineRule="exact"/>
        <w:ind w:firstLine="640" w:firstLineChars="200"/>
        <w:rPr>
          <w:rFonts w:hint="eastAsia" w:ascii="仿宋_GB2312" w:eastAsia="仿宋_GB2312"/>
          <w:color w:val="FF0000"/>
          <w:sz w:val="32"/>
          <w:szCs w:val="32"/>
          <w:highlight w:val="none"/>
        </w:rPr>
      </w:pPr>
      <w:r>
        <w:rPr>
          <w:rFonts w:hint="eastAsia" w:ascii="仿宋_GB2312" w:eastAsia="仿宋_GB2312"/>
          <w:color w:val="auto"/>
          <w:sz w:val="32"/>
          <w:szCs w:val="32"/>
          <w:highlight w:val="none"/>
          <w:lang w:val="en-US" w:eastAsia="zh-CN"/>
        </w:rPr>
        <w:t>6</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其他收入：指单位取得的除上述收入以外的各项收入。</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基本支出：指为保障机构正常运转、完成日常工作任务而发生的人员支出和公用支出。</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9.</w:t>
      </w:r>
      <w:r>
        <w:rPr>
          <w:rFonts w:hint="eastAsia" w:ascii="仿宋_GB2312" w:eastAsia="仿宋_GB2312"/>
          <w:color w:val="auto"/>
          <w:sz w:val="32"/>
          <w:szCs w:val="32"/>
          <w:highlight w:val="none"/>
        </w:rPr>
        <w:t>经营支出：指事业单位在专业业务活动及其辅助活动之外开展非独立核算经营活动发生的支出。</w:t>
      </w:r>
    </w:p>
    <w:p>
      <w:pPr>
        <w:pStyle w:val="34"/>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w:t>
      </w:r>
      <w:r>
        <w:rPr>
          <w:rFonts w:ascii="仿宋_GB2312" w:eastAsia="仿宋_GB2312"/>
          <w:color w:val="auto"/>
          <w:sz w:val="32"/>
          <w:szCs w:val="32"/>
          <w:highlight w:val="none"/>
        </w:rPr>
        <w:t>0.</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w:t>
      </w:r>
      <w:r>
        <w:rPr>
          <w:rFonts w:ascii="仿宋_GB2312" w:eastAsia="仿宋_GB2312"/>
          <w:color w:val="auto"/>
          <w:sz w:val="32"/>
          <w:szCs w:val="32"/>
          <w:highlight w:val="none"/>
        </w:rPr>
        <w:t>1.</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4"/>
        <w:rPr>
          <w:rFonts w:hint="eastAsia"/>
          <w:highlight w:val="yellow"/>
        </w:rPr>
      </w:pPr>
      <w:r>
        <w:rPr>
          <w:rFonts w:hint="eastAsia" w:ascii="仿宋_GB2312" w:eastAsia="仿宋_GB2312"/>
          <w:color w:val="000000" w:themeColor="text1"/>
          <w:sz w:val="32"/>
          <w:szCs w:val="32"/>
          <w:highlight w:val="none"/>
          <w:lang w:val="en-US" w:eastAsia="zh-CN"/>
          <w14:textFill>
            <w14:solidFill>
              <w14:schemeClr w14:val="tx1"/>
            </w14:solidFill>
          </w14:textFill>
        </w:rPr>
        <w:t>12.</w:t>
      </w:r>
      <w:r>
        <w:rPr>
          <w:rFonts w:hint="eastAsia"/>
        </w:rPr>
        <w:t>一般公共服务（类）人大事务（款）行政运行（项）:</w:t>
      </w:r>
      <w:r>
        <w:rPr>
          <w:rFonts w:hint="eastAsia"/>
          <w:lang w:eastAsia="zh-CN"/>
        </w:rPr>
        <w:t>指用于</w:t>
      </w:r>
      <w:r>
        <w:rPr>
          <w:rFonts w:hint="eastAsia"/>
          <w:highlight w:val="none"/>
        </w:rPr>
        <w:t>机关及参公管理事业单位正常运转的基本支出，包括基本工资、津贴补贴等人员经费以及办公费、印刷费、水电费等日常公用经费。</w:t>
      </w:r>
    </w:p>
    <w:p>
      <w:pPr>
        <w:pStyle w:val="44"/>
        <w:rPr>
          <w:rFonts w:hint="eastAsia" w:eastAsia="仿宋_GB2312"/>
          <w:lang w:eastAsia="zh-CN"/>
        </w:rPr>
      </w:pPr>
      <w:r>
        <w:rPr>
          <w:rFonts w:hint="eastAsia"/>
          <w:lang w:val="en-US" w:eastAsia="zh-CN"/>
        </w:rPr>
        <w:t>13</w:t>
      </w:r>
      <w:r>
        <w:rPr>
          <w:rFonts w:hint="eastAsia"/>
        </w:rPr>
        <w:t>.</w:t>
      </w:r>
      <w:r>
        <w:rPr>
          <w:rFonts w:hint="eastAsia"/>
          <w:highlight w:val="none"/>
        </w:rPr>
        <w:t>一般公共服务支出（类）</w:t>
      </w:r>
      <w:r>
        <w:rPr>
          <w:rFonts w:hint="eastAsia"/>
          <w:highlight w:val="none"/>
          <w:lang w:eastAsia="zh-CN"/>
        </w:rPr>
        <w:t>政府办公厅（室）及相关机构事务</w:t>
      </w:r>
      <w:r>
        <w:rPr>
          <w:rFonts w:hint="eastAsia"/>
          <w:highlight w:val="none"/>
        </w:rPr>
        <w:t>（款）</w:t>
      </w:r>
      <w:r>
        <w:rPr>
          <w:rFonts w:hint="eastAsia"/>
          <w:highlight w:val="none"/>
          <w:lang w:eastAsia="zh-CN"/>
        </w:rPr>
        <w:t>信访事务</w:t>
      </w:r>
      <w:r>
        <w:rPr>
          <w:rFonts w:hint="eastAsia"/>
          <w:highlight w:val="none"/>
        </w:rPr>
        <w:t>（项）:机关及参公管理事业单位开展</w:t>
      </w:r>
      <w:r>
        <w:rPr>
          <w:rFonts w:hint="eastAsia"/>
          <w:highlight w:val="none"/>
          <w:lang w:val="en-US" w:eastAsia="zh-CN"/>
        </w:rPr>
        <w:t>信访</w:t>
      </w:r>
      <w:r>
        <w:rPr>
          <w:rFonts w:hint="eastAsia"/>
          <w:highlight w:val="none"/>
        </w:rPr>
        <w:t>工作的支出</w:t>
      </w:r>
      <w:r>
        <w:rPr>
          <w:rFonts w:hint="eastAsia"/>
          <w:highlight w:val="none"/>
          <w:lang w:eastAsia="zh-CN"/>
        </w:rPr>
        <w:t>。</w:t>
      </w:r>
    </w:p>
    <w:p>
      <w:pPr>
        <w:pStyle w:val="44"/>
        <w:rPr>
          <w:rFonts w:hint="eastAsia"/>
          <w:highlight w:val="yellow"/>
        </w:rPr>
      </w:pPr>
      <w:r>
        <w:rPr>
          <w:rFonts w:hint="eastAsia"/>
          <w:lang w:val="en-US" w:eastAsia="zh-CN"/>
        </w:rPr>
        <w:t>14.</w:t>
      </w:r>
      <w:r>
        <w:rPr>
          <w:rFonts w:hint="eastAsia"/>
        </w:rPr>
        <w:t>一般公共服务（类）政府办公厅（室）及相关机构事务（款）一般行政管理事务（项）:</w:t>
      </w:r>
      <w:r>
        <w:rPr>
          <w:rFonts w:hint="eastAsia"/>
          <w:highlight w:val="none"/>
        </w:rPr>
        <w:t>机关及参公管理事业单位开展财政综合业务、预决算编审等未单独设置项级科目的专门性财政管理工作的项目支出。</w:t>
      </w:r>
    </w:p>
    <w:p>
      <w:pPr>
        <w:pStyle w:val="44"/>
        <w:rPr>
          <w:rFonts w:hint="eastAsia"/>
          <w:highlight w:val="none"/>
        </w:rPr>
      </w:pPr>
      <w:r>
        <w:rPr>
          <w:rFonts w:hint="eastAsia"/>
          <w:lang w:val="en-US" w:eastAsia="zh-CN"/>
        </w:rPr>
        <w:t>15</w:t>
      </w:r>
      <w:r>
        <w:rPr>
          <w:rFonts w:hint="eastAsia"/>
        </w:rPr>
        <w:t>.一般公共服务（类）政府办公厅（室）及相关机构事务（款）事业运行（项）:</w:t>
      </w:r>
      <w:r>
        <w:rPr>
          <w:rFonts w:hint="eastAsia"/>
          <w:highlight w:val="none"/>
        </w:rPr>
        <w:t>开展其他财政事务方面专门性工作任务的项目支出。</w:t>
      </w:r>
    </w:p>
    <w:p>
      <w:pPr>
        <w:pStyle w:val="44"/>
        <w:rPr>
          <w:rFonts w:hint="eastAsia"/>
          <w:highlight w:val="none"/>
        </w:rPr>
      </w:pPr>
      <w:r>
        <w:rPr>
          <w:rFonts w:hint="eastAsia"/>
          <w:highlight w:val="none"/>
        </w:rPr>
        <w:t>1</w:t>
      </w:r>
      <w:r>
        <w:rPr>
          <w:rFonts w:hint="eastAsia"/>
          <w:highlight w:val="none"/>
          <w:lang w:val="en-US" w:eastAsia="zh-CN"/>
        </w:rPr>
        <w:t>6</w:t>
      </w:r>
      <w:r>
        <w:rPr>
          <w:rFonts w:hint="eastAsia"/>
          <w:highlight w:val="none"/>
        </w:rPr>
        <w:t>.一般公共服务支出</w:t>
      </w:r>
      <w:r>
        <w:rPr>
          <w:rFonts w:hint="eastAsia"/>
        </w:rPr>
        <w:t>（类）</w:t>
      </w:r>
      <w:r>
        <w:rPr>
          <w:rFonts w:hint="eastAsia"/>
          <w:highlight w:val="none"/>
        </w:rPr>
        <w:t>其他共产党事务支出</w:t>
      </w:r>
      <w:r>
        <w:rPr>
          <w:rFonts w:hint="eastAsia"/>
        </w:rPr>
        <w:t>（款）</w:t>
      </w:r>
      <w:r>
        <w:rPr>
          <w:rFonts w:hint="eastAsia"/>
          <w:highlight w:val="none"/>
        </w:rPr>
        <w:t>行政运行</w:t>
      </w:r>
      <w:r>
        <w:rPr>
          <w:rFonts w:hint="eastAsia"/>
        </w:rPr>
        <w:t>（项）</w:t>
      </w:r>
      <w:r>
        <w:rPr>
          <w:rFonts w:hint="eastAsia"/>
          <w:highlight w:val="none"/>
        </w:rPr>
        <w:t>：</w:t>
      </w:r>
      <w:r>
        <w:rPr>
          <w:rFonts w:hint="eastAsia"/>
          <w:highlight w:val="none"/>
          <w:lang w:val="en-US" w:eastAsia="zh-CN"/>
        </w:rPr>
        <w:t>指</w:t>
      </w:r>
      <w:r>
        <w:rPr>
          <w:rFonts w:hint="eastAsia"/>
          <w:lang w:eastAsia="zh-CN"/>
        </w:rPr>
        <w:t>用于</w:t>
      </w:r>
      <w:r>
        <w:rPr>
          <w:rFonts w:hint="eastAsia"/>
          <w:highlight w:val="none"/>
        </w:rPr>
        <w:t>机关及参公管理事业单位</w:t>
      </w:r>
      <w:r>
        <w:rPr>
          <w:rFonts w:hint="eastAsia"/>
          <w:highlight w:val="none"/>
          <w:lang w:val="en-US" w:eastAsia="zh-CN"/>
        </w:rPr>
        <w:t>的</w:t>
      </w:r>
      <w:r>
        <w:rPr>
          <w:rFonts w:hint="eastAsia"/>
          <w:highlight w:val="none"/>
        </w:rPr>
        <w:t>其他共产党事务支出</w:t>
      </w:r>
      <w:r>
        <w:rPr>
          <w:rFonts w:hint="eastAsia"/>
          <w:highlight w:val="none"/>
          <w:lang w:val="en-US" w:eastAsia="zh-CN"/>
        </w:rPr>
        <w:t>的基本支出</w:t>
      </w:r>
      <w:r>
        <w:rPr>
          <w:rFonts w:hint="eastAsia"/>
          <w:highlight w:val="none"/>
        </w:rPr>
        <w:t>。</w:t>
      </w:r>
    </w:p>
    <w:p>
      <w:pPr>
        <w:pStyle w:val="44"/>
        <w:rPr>
          <w:rFonts w:hint="eastAsia"/>
          <w:highlight w:val="none"/>
        </w:rPr>
      </w:pPr>
      <w:r>
        <w:rPr>
          <w:rFonts w:hint="eastAsia"/>
          <w:highlight w:val="none"/>
          <w:lang w:val="en-US" w:eastAsia="zh-CN"/>
        </w:rPr>
        <w:t>17</w:t>
      </w:r>
      <w:r>
        <w:rPr>
          <w:rFonts w:hint="eastAsia"/>
          <w:highlight w:val="none"/>
        </w:rPr>
        <w:t>.一般公共服务支出</w:t>
      </w:r>
      <w:r>
        <w:rPr>
          <w:rFonts w:hint="eastAsia"/>
        </w:rPr>
        <w:t>（类）</w:t>
      </w:r>
      <w:r>
        <w:rPr>
          <w:rFonts w:hint="eastAsia"/>
          <w:highlight w:val="none"/>
        </w:rPr>
        <w:t>其他共产党事务支出</w:t>
      </w:r>
      <w:r>
        <w:rPr>
          <w:rFonts w:hint="eastAsia"/>
        </w:rPr>
        <w:t>（款）</w:t>
      </w:r>
      <w:r>
        <w:rPr>
          <w:rFonts w:hint="eastAsia"/>
          <w:highlight w:val="none"/>
        </w:rPr>
        <w:t xml:space="preserve"> 事业运行</w:t>
      </w:r>
      <w:r>
        <w:rPr>
          <w:rFonts w:hint="eastAsia"/>
        </w:rPr>
        <w:t>（项）</w:t>
      </w:r>
      <w:r>
        <w:rPr>
          <w:rFonts w:hint="eastAsia"/>
          <w:highlight w:val="none"/>
        </w:rPr>
        <w:t>：</w:t>
      </w:r>
      <w:r>
        <w:rPr>
          <w:rFonts w:hint="eastAsia"/>
          <w:highlight w:val="none"/>
          <w:lang w:val="en-US" w:eastAsia="zh-CN"/>
        </w:rPr>
        <w:t>指</w:t>
      </w:r>
      <w:r>
        <w:rPr>
          <w:rFonts w:hint="eastAsia"/>
          <w:lang w:eastAsia="zh-CN"/>
        </w:rPr>
        <w:t>用于</w:t>
      </w:r>
      <w:r>
        <w:rPr>
          <w:rFonts w:hint="eastAsia"/>
          <w:highlight w:val="none"/>
        </w:rPr>
        <w:t>机关及参公管理事业单位</w:t>
      </w:r>
      <w:r>
        <w:rPr>
          <w:rFonts w:hint="eastAsia"/>
          <w:highlight w:val="none"/>
          <w:lang w:val="en-US" w:eastAsia="zh-CN"/>
        </w:rPr>
        <w:t>的</w:t>
      </w:r>
      <w:r>
        <w:rPr>
          <w:rFonts w:hint="eastAsia"/>
          <w:highlight w:val="none"/>
        </w:rPr>
        <w:t>其他共产党事务支出</w:t>
      </w:r>
      <w:r>
        <w:rPr>
          <w:rFonts w:hint="eastAsia"/>
          <w:highlight w:val="none"/>
          <w:lang w:val="en-US" w:eastAsia="zh-CN"/>
        </w:rPr>
        <w:t>的项目支出</w:t>
      </w:r>
      <w:r>
        <w:rPr>
          <w:rFonts w:hint="eastAsia"/>
          <w:highlight w:val="none"/>
        </w:rPr>
        <w:t>。</w:t>
      </w:r>
    </w:p>
    <w:p>
      <w:pPr>
        <w:pStyle w:val="44"/>
        <w:rPr>
          <w:rFonts w:hint="eastAsia"/>
          <w:highlight w:val="none"/>
        </w:rPr>
      </w:pPr>
      <w:r>
        <w:rPr>
          <w:rFonts w:hint="eastAsia"/>
          <w:highlight w:val="none"/>
          <w:lang w:val="en-US" w:eastAsia="zh-CN"/>
        </w:rPr>
        <w:t>18</w:t>
      </w:r>
      <w:r>
        <w:rPr>
          <w:rFonts w:hint="eastAsia"/>
          <w:highlight w:val="none"/>
        </w:rPr>
        <w:t>.教育支出</w:t>
      </w:r>
      <w:r>
        <w:rPr>
          <w:rFonts w:hint="eastAsia"/>
        </w:rPr>
        <w:t>（类）</w:t>
      </w:r>
      <w:r>
        <w:rPr>
          <w:rFonts w:hint="eastAsia"/>
          <w:highlight w:val="none"/>
        </w:rPr>
        <w:t>进修及培训</w:t>
      </w:r>
      <w:r>
        <w:rPr>
          <w:rFonts w:hint="eastAsia"/>
        </w:rPr>
        <w:t>（款）</w:t>
      </w:r>
      <w:r>
        <w:rPr>
          <w:rFonts w:hint="eastAsia"/>
          <w:highlight w:val="none"/>
        </w:rPr>
        <w:t>干部教育</w:t>
      </w:r>
      <w:r>
        <w:rPr>
          <w:rFonts w:hint="eastAsia"/>
        </w:rPr>
        <w:t>（项）</w:t>
      </w:r>
      <w:r>
        <w:rPr>
          <w:rFonts w:hint="eastAsia"/>
          <w:highlight w:val="none"/>
        </w:rPr>
        <w:t>：</w:t>
      </w:r>
      <w:r>
        <w:rPr>
          <w:rFonts w:hint="eastAsia"/>
          <w:highlight w:val="none"/>
          <w:lang w:val="en-US" w:eastAsia="zh-CN"/>
        </w:rPr>
        <w:t>指</w:t>
      </w:r>
      <w:r>
        <w:rPr>
          <w:rFonts w:hint="eastAsia"/>
          <w:highlight w:val="none"/>
        </w:rPr>
        <w:t>机关及参公管理事业单位</w:t>
      </w:r>
      <w:r>
        <w:rPr>
          <w:rFonts w:hint="eastAsia"/>
          <w:highlight w:val="none"/>
          <w:lang w:val="en-US" w:eastAsia="zh-CN"/>
        </w:rPr>
        <w:t>干部的进修及培训支出</w:t>
      </w:r>
      <w:r>
        <w:rPr>
          <w:rFonts w:hint="eastAsia"/>
          <w:highlight w:val="none"/>
        </w:rPr>
        <w:t>。</w:t>
      </w:r>
    </w:p>
    <w:p>
      <w:pPr>
        <w:pStyle w:val="44"/>
        <w:rPr>
          <w:rFonts w:hint="eastAsia" w:eastAsia="仿宋_GB2312"/>
          <w:highlight w:val="none"/>
          <w:lang w:eastAsia="zh-CN"/>
        </w:rPr>
      </w:pPr>
      <w:r>
        <w:rPr>
          <w:rFonts w:hint="eastAsia"/>
          <w:highlight w:val="none"/>
          <w:lang w:val="en-US" w:eastAsia="zh-CN"/>
        </w:rPr>
        <w:t>19.</w:t>
      </w:r>
      <w:r>
        <w:rPr>
          <w:rFonts w:hint="eastAsia"/>
          <w:highlight w:val="none"/>
        </w:rPr>
        <w:t>科学技术支出</w:t>
      </w:r>
      <w:r>
        <w:rPr>
          <w:rFonts w:hint="eastAsia"/>
        </w:rPr>
        <w:t>（类）</w:t>
      </w:r>
      <w:r>
        <w:rPr>
          <w:rFonts w:hint="eastAsia"/>
          <w:highlight w:val="none"/>
        </w:rPr>
        <w:t>）社会科学</w:t>
      </w:r>
      <w:r>
        <w:rPr>
          <w:rFonts w:hint="eastAsia"/>
        </w:rPr>
        <w:t>（款）</w:t>
      </w:r>
      <w:r>
        <w:rPr>
          <w:rFonts w:hint="eastAsia"/>
          <w:highlight w:val="none"/>
        </w:rPr>
        <w:t>其他社会科学支出</w:t>
      </w:r>
      <w:r>
        <w:rPr>
          <w:rFonts w:hint="eastAsia"/>
        </w:rPr>
        <w:t>（项）</w:t>
      </w:r>
      <w:r>
        <w:rPr>
          <w:rFonts w:hint="eastAsia"/>
          <w:lang w:eastAsia="zh-CN"/>
        </w:rPr>
        <w:t>：</w:t>
      </w:r>
      <w:r>
        <w:rPr>
          <w:rFonts w:hint="eastAsia"/>
          <w:lang w:val="en-US" w:eastAsia="zh-CN"/>
        </w:rPr>
        <w:t>指</w:t>
      </w:r>
      <w:r>
        <w:rPr>
          <w:rFonts w:hint="eastAsia"/>
          <w:highlight w:val="none"/>
        </w:rPr>
        <w:t>机关及参公管理事业单位其他社会科学支出</w:t>
      </w:r>
      <w:r>
        <w:rPr>
          <w:rFonts w:hint="eastAsia"/>
          <w:highlight w:val="none"/>
          <w:lang w:eastAsia="zh-CN"/>
        </w:rPr>
        <w:t>。</w:t>
      </w:r>
    </w:p>
    <w:p>
      <w:pPr>
        <w:pStyle w:val="44"/>
        <w:rPr>
          <w:rFonts w:hint="eastAsia"/>
        </w:rPr>
      </w:pPr>
      <w:r>
        <w:rPr>
          <w:rFonts w:hint="eastAsia"/>
          <w:lang w:val="en-US" w:eastAsia="zh-CN"/>
        </w:rPr>
        <w:t>20</w:t>
      </w:r>
      <w:r>
        <w:rPr>
          <w:rFonts w:hint="eastAsia"/>
        </w:rPr>
        <w:t>.文化旅游体育与传媒支出（类）文化旅游（款）群众文化（项）：反映群众文化方面的支出，包括基层文化馆（站）、群众文化艺术馆支出等</w:t>
      </w:r>
      <w:r>
        <w:rPr>
          <w:rFonts w:hint="eastAsia"/>
          <w:lang w:eastAsia="zh-CN"/>
        </w:rPr>
        <w:t>。</w:t>
      </w:r>
    </w:p>
    <w:p>
      <w:pPr>
        <w:pStyle w:val="44"/>
        <w:rPr>
          <w:rFonts w:hint="eastAsia"/>
        </w:rPr>
      </w:pPr>
      <w:r>
        <w:rPr>
          <w:rFonts w:hint="eastAsia"/>
          <w:lang w:val="en-US" w:eastAsia="zh-CN"/>
        </w:rPr>
        <w:t>21</w:t>
      </w:r>
      <w:r>
        <w:rPr>
          <w:rFonts w:hint="eastAsia"/>
        </w:rPr>
        <w:t>．社会保障和就业支出（类）人力资源和社会保障管理事务（款）其他人力资源和社会保障管理事务支出（项）：反映其他用于人力资源和社会保障管理事务方面的支出。</w:t>
      </w:r>
    </w:p>
    <w:p>
      <w:pPr>
        <w:pStyle w:val="44"/>
        <w:rPr>
          <w:rFonts w:hint="eastAsia"/>
        </w:rPr>
      </w:pPr>
      <w:r>
        <w:rPr>
          <w:rFonts w:hint="eastAsia"/>
          <w:lang w:val="en-US" w:eastAsia="zh-CN"/>
        </w:rPr>
        <w:t>22</w:t>
      </w:r>
      <w:r>
        <w:rPr>
          <w:rFonts w:hint="eastAsia"/>
        </w:rPr>
        <w:t>．社会保障和就业支出（类）民政管理事务（款）基层政权建设和社区治理（项）：反映开展城乡社区治理、城乡社区服务（乡村便民服务）、村（居）务公开、乡镇（街道）服务能力建设等基层政权建设和社区治理工作的支出。</w:t>
      </w:r>
    </w:p>
    <w:p>
      <w:pPr>
        <w:pStyle w:val="44"/>
        <w:rPr>
          <w:rFonts w:hint="eastAsia"/>
        </w:rPr>
      </w:pPr>
      <w:r>
        <w:rPr>
          <w:rFonts w:hint="eastAsia"/>
          <w:lang w:val="en-US" w:eastAsia="zh-CN"/>
        </w:rPr>
        <w:t>23</w:t>
      </w:r>
      <w:r>
        <w:rPr>
          <w:rFonts w:hint="eastAsia"/>
        </w:rPr>
        <w:t>．社会保障和就业支出（类）民政管理事务（款）其他民政管理事务支出（项）：反映民政部门接待来访、法制建设、政策宣传方面的支出，以及开展社会救助、社会福利、养老服务、社会事务、信息化建设等方面的支出。</w:t>
      </w:r>
    </w:p>
    <w:p>
      <w:pPr>
        <w:pStyle w:val="44"/>
        <w:rPr>
          <w:rFonts w:hint="eastAsia"/>
        </w:rPr>
      </w:pPr>
      <w:r>
        <w:rPr>
          <w:rFonts w:hint="eastAsia"/>
          <w:lang w:val="en-US" w:eastAsia="zh-CN"/>
        </w:rPr>
        <w:t>24</w:t>
      </w:r>
      <w:r>
        <w:rPr>
          <w:rFonts w:hint="eastAsia"/>
        </w:rPr>
        <w:t>．社会保障和就业支出（类）行政事业单位养老支出（款）机关事业单位基本养老保险缴费支出（项）：反映机关事业单位实施养老保险制度由单位缴纳的基本养老保险费的支出。</w:t>
      </w:r>
    </w:p>
    <w:p>
      <w:pPr>
        <w:pStyle w:val="44"/>
        <w:rPr>
          <w:rFonts w:hint="eastAsia"/>
        </w:rPr>
      </w:pPr>
      <w:r>
        <w:rPr>
          <w:rFonts w:hint="eastAsia"/>
          <w:lang w:val="en-US" w:eastAsia="zh-CN"/>
        </w:rPr>
        <w:t>25</w:t>
      </w:r>
      <w:r>
        <w:rPr>
          <w:rFonts w:hint="eastAsia"/>
        </w:rPr>
        <w:t>．社会保障和就业支出（类）行政事业单位养老支出（款）机关事业单位职业年金缴费支出（项）：反映机关事业单位实施养老保险制度由单位世纪缴纳的职业年金支出。</w:t>
      </w:r>
    </w:p>
    <w:p>
      <w:pPr>
        <w:pStyle w:val="44"/>
        <w:rPr>
          <w:rFonts w:hint="eastAsia"/>
        </w:rPr>
      </w:pPr>
      <w:r>
        <w:rPr>
          <w:rFonts w:hint="eastAsia"/>
          <w:lang w:val="en-US" w:eastAsia="zh-CN"/>
        </w:rPr>
        <w:t>26</w:t>
      </w:r>
      <w:r>
        <w:rPr>
          <w:rFonts w:hint="eastAsia"/>
        </w:rPr>
        <w:t>．社会保障和就业支出（类）行政事业单位养老支出（款）其他行政事业单位基本养老支出（项）：反映除上述项目以外其他用于行政事业单位养老方面的支出。</w:t>
      </w:r>
    </w:p>
    <w:p>
      <w:pPr>
        <w:pStyle w:val="44"/>
        <w:rPr>
          <w:rFonts w:hint="eastAsia"/>
        </w:rPr>
      </w:pPr>
      <w:r>
        <w:rPr>
          <w:rFonts w:hint="eastAsia"/>
          <w:lang w:val="en-US" w:eastAsia="zh-CN"/>
        </w:rPr>
        <w:t>27</w:t>
      </w:r>
      <w:r>
        <w:rPr>
          <w:rFonts w:hint="eastAsia"/>
        </w:rPr>
        <w:t>．社会保障和就业支出（类）抚恤（款）其他优抚支出（项）：反映用于义务兵优待、死亡伤残抚恤等以外的其他优抚支出。</w:t>
      </w:r>
    </w:p>
    <w:p>
      <w:pPr>
        <w:pStyle w:val="44"/>
        <w:rPr>
          <w:rFonts w:hint="eastAsia"/>
        </w:rPr>
      </w:pPr>
      <w:r>
        <w:rPr>
          <w:rFonts w:hint="eastAsia"/>
          <w:lang w:val="en-US" w:eastAsia="zh-CN"/>
        </w:rPr>
        <w:t>28</w:t>
      </w:r>
      <w:r>
        <w:rPr>
          <w:rFonts w:hint="eastAsia"/>
        </w:rPr>
        <w:t>．社会保障和就业支出（类）其他社会保障和就业支出（款）其他社会保障和就业支出（项）：反映除上述项目以外其他用于社会保障和就业方面的支出。</w:t>
      </w:r>
    </w:p>
    <w:p>
      <w:pPr>
        <w:pStyle w:val="44"/>
        <w:rPr>
          <w:rFonts w:hint="eastAsia"/>
        </w:rPr>
      </w:pPr>
      <w:r>
        <w:rPr>
          <w:rFonts w:hint="eastAsia"/>
        </w:rPr>
        <w:t>2</w:t>
      </w:r>
      <w:r>
        <w:rPr>
          <w:rFonts w:hint="eastAsia"/>
          <w:lang w:val="en-US" w:eastAsia="zh-CN"/>
        </w:rPr>
        <w:t>9</w:t>
      </w:r>
      <w:r>
        <w:rPr>
          <w:rFonts w:hint="eastAsia"/>
        </w:rPr>
        <w:t>．卫生健康支出（类）公共卫生（款）采供血机构（项）：反映卫生健康部门所属采供血机构的支出。</w:t>
      </w:r>
    </w:p>
    <w:p>
      <w:pPr>
        <w:pStyle w:val="44"/>
        <w:rPr>
          <w:rFonts w:hint="eastAsia"/>
        </w:rPr>
      </w:pPr>
      <w:r>
        <w:rPr>
          <w:rFonts w:hint="eastAsia"/>
          <w:lang w:val="en-US" w:eastAsia="zh-CN"/>
        </w:rPr>
        <w:t>30</w:t>
      </w:r>
      <w:r>
        <w:rPr>
          <w:rFonts w:hint="eastAsia"/>
        </w:rPr>
        <w:t>．卫生健康支出（类）行政事业单位医疗（款）行政单位医疗（项）：指行政单位及参公管理事业单位用于缴纳单位基本医疗保险支出。</w:t>
      </w:r>
    </w:p>
    <w:p>
      <w:pPr>
        <w:pStyle w:val="44"/>
        <w:rPr>
          <w:rFonts w:hint="eastAsia"/>
        </w:rPr>
      </w:pPr>
      <w:r>
        <w:rPr>
          <w:rFonts w:hint="eastAsia"/>
          <w:lang w:val="en-US" w:eastAsia="zh-CN"/>
        </w:rPr>
        <w:t>31</w:t>
      </w:r>
      <w:r>
        <w:rPr>
          <w:rFonts w:hint="eastAsia"/>
        </w:rPr>
        <w:t>．卫生健康支出（类）行政事业单位医疗（款）事业单位医疗（项）：指事业单位用于缴纳单位基本医疗保险支出。</w:t>
      </w:r>
    </w:p>
    <w:p>
      <w:pPr>
        <w:pStyle w:val="44"/>
        <w:rPr>
          <w:rFonts w:hint="eastAsia"/>
        </w:rPr>
      </w:pPr>
      <w:r>
        <w:rPr>
          <w:rFonts w:hint="eastAsia"/>
          <w:lang w:val="en-US" w:eastAsia="zh-CN"/>
        </w:rPr>
        <w:t>32</w:t>
      </w:r>
      <w:r>
        <w:rPr>
          <w:rFonts w:hint="eastAsia"/>
        </w:rPr>
        <w:t>．城乡社区支出（类）城乡社区公共设施（款）其他城乡社区公共设施支出（项）：反映其他用于城乡社区公共设施方面的支出。</w:t>
      </w:r>
    </w:p>
    <w:p>
      <w:pPr>
        <w:pStyle w:val="44"/>
        <w:rPr>
          <w:rFonts w:hint="eastAsia"/>
        </w:rPr>
      </w:pPr>
      <w:r>
        <w:rPr>
          <w:rFonts w:hint="eastAsia"/>
          <w:lang w:val="en-US" w:eastAsia="zh-CN"/>
        </w:rPr>
        <w:t>33</w:t>
      </w:r>
      <w:r>
        <w:rPr>
          <w:rFonts w:hint="eastAsia"/>
        </w:rPr>
        <w:t>．城乡社区支出（类）城乡社区环境卫生（款）城乡社区环境卫生（项）：反映城乡社区道路清扫、垃圾清运与处理、公厕建设与维护、园林绿化等方面的支出。</w:t>
      </w:r>
    </w:p>
    <w:p>
      <w:pPr>
        <w:pStyle w:val="44"/>
        <w:rPr>
          <w:rFonts w:hint="eastAsia"/>
        </w:rPr>
      </w:pPr>
      <w:r>
        <w:rPr>
          <w:rFonts w:hint="eastAsia"/>
          <w:lang w:val="en-US" w:eastAsia="zh-CN"/>
        </w:rPr>
        <w:t>34</w:t>
      </w:r>
      <w:r>
        <w:rPr>
          <w:rFonts w:hint="eastAsia"/>
        </w:rPr>
        <w:t>．农林水支出（类）农业农村（款）事业运行（项）：反映用于农业事业单位方面的基本支出。</w:t>
      </w:r>
    </w:p>
    <w:p>
      <w:pPr>
        <w:pStyle w:val="44"/>
        <w:rPr>
          <w:rFonts w:hint="eastAsia"/>
        </w:rPr>
      </w:pPr>
      <w:r>
        <w:rPr>
          <w:rFonts w:hint="eastAsia"/>
          <w:lang w:val="en-US" w:eastAsia="zh-CN"/>
        </w:rPr>
        <w:t>35</w:t>
      </w:r>
      <w:r>
        <w:rPr>
          <w:rFonts w:hint="eastAsia"/>
        </w:rPr>
        <w:t>．农林水支出（类）农业农村（款）其他农业农村支出（项）：反映除上述项目以外其他用于农业农村方面的支出。</w:t>
      </w:r>
    </w:p>
    <w:p>
      <w:pPr>
        <w:pStyle w:val="44"/>
        <w:rPr>
          <w:rFonts w:hint="eastAsia"/>
        </w:rPr>
      </w:pPr>
      <w:r>
        <w:rPr>
          <w:rFonts w:hint="eastAsia"/>
          <w:lang w:val="en-US" w:eastAsia="zh-CN"/>
        </w:rPr>
        <w:t>36</w:t>
      </w:r>
      <w:r>
        <w:rPr>
          <w:rFonts w:hint="eastAsia"/>
        </w:rPr>
        <w:t>．农林水支出（类）农村综合改革（款）对村民委员会和村党支部的补助（项）：反映各级财政对村民委员会和村党支部的补助支出，以及支持建立县级基本财力保障机制安排的村级组织运转奖补资金。</w:t>
      </w:r>
    </w:p>
    <w:p>
      <w:pPr>
        <w:pStyle w:val="44"/>
        <w:rPr>
          <w:rFonts w:hint="eastAsia"/>
        </w:rPr>
      </w:pPr>
      <w:r>
        <w:rPr>
          <w:rFonts w:hint="eastAsia"/>
          <w:lang w:val="en-US" w:eastAsia="zh-CN"/>
        </w:rPr>
        <w:t>37</w:t>
      </w:r>
      <w:r>
        <w:rPr>
          <w:rFonts w:hint="eastAsia"/>
        </w:rPr>
        <w:t>．农林水支出（类）农村综合改革（款）农村综合改革示范试点补助（项）：反映各级财政对农村综合改革示范试点、新型农业社会化服务体系建设等补助支出。</w:t>
      </w:r>
    </w:p>
    <w:p>
      <w:pPr>
        <w:pStyle w:val="44"/>
        <w:rPr>
          <w:rFonts w:hint="eastAsia"/>
        </w:rPr>
      </w:pPr>
      <w:r>
        <w:rPr>
          <w:rFonts w:hint="eastAsia"/>
          <w:lang w:val="en-US" w:eastAsia="zh-CN"/>
        </w:rPr>
        <w:t>38</w:t>
      </w:r>
      <w:r>
        <w:rPr>
          <w:rFonts w:hint="eastAsia"/>
        </w:rPr>
        <w:t>．社会保障和就业支出（类）人力资源和社会保障管理事务（款）其他人力资源和社会保障管理事务支出（项）:指离退休人员的支出。</w:t>
      </w:r>
    </w:p>
    <w:p>
      <w:pPr>
        <w:pStyle w:val="44"/>
        <w:rPr>
          <w:rFonts w:hint="eastAsia"/>
        </w:rPr>
      </w:pPr>
      <w:r>
        <w:rPr>
          <w:rFonts w:hint="eastAsia"/>
          <w:lang w:val="en-US" w:eastAsia="zh-CN"/>
        </w:rPr>
        <w:t>39</w:t>
      </w:r>
      <w:r>
        <w:rPr>
          <w:rFonts w:hint="eastAsia"/>
        </w:rPr>
        <w:t>.社会保障和就业支出（类）民政管理事务（款）基层政权建设和社区治理（项）:基层政权和社区治理的工作经费支出。</w:t>
      </w:r>
    </w:p>
    <w:p>
      <w:pPr>
        <w:pStyle w:val="44"/>
        <w:rPr>
          <w:rFonts w:hint="eastAsia"/>
        </w:rPr>
      </w:pPr>
      <w:r>
        <w:rPr>
          <w:rFonts w:hint="eastAsia"/>
          <w:lang w:val="en-US" w:eastAsia="zh-CN"/>
        </w:rPr>
        <w:t>40</w:t>
      </w:r>
      <w:r>
        <w:rPr>
          <w:rFonts w:hint="eastAsia"/>
        </w:rPr>
        <w:t>.社会保障和就业支出（类）行政事业单位养老支出（款）行政单位离退休（项）:</w:t>
      </w:r>
      <w:r>
        <w:rPr>
          <w:rFonts w:hint="eastAsia"/>
          <w:lang w:eastAsia="zh-CN"/>
        </w:rPr>
        <w:t>指</w:t>
      </w:r>
      <w:r>
        <w:rPr>
          <w:rFonts w:hint="eastAsia"/>
        </w:rPr>
        <w:t>部门行政单位（本级）和下属单位离、退休人</w:t>
      </w:r>
      <w:r>
        <w:rPr>
          <w:rFonts w:hint="eastAsia"/>
          <w:color w:val="auto"/>
        </w:rPr>
        <w:t>员</w:t>
      </w:r>
      <w:r>
        <w:rPr>
          <w:rFonts w:hint="eastAsia"/>
          <w:color w:val="auto"/>
          <w:lang w:eastAsia="zh-CN"/>
        </w:rPr>
        <w:t>的</w:t>
      </w:r>
      <w:r>
        <w:rPr>
          <w:rFonts w:hint="eastAsia"/>
          <w:color w:val="auto"/>
        </w:rPr>
        <w:t>支出。</w:t>
      </w:r>
      <w:r>
        <w:rPr>
          <w:rFonts w:hint="eastAsia"/>
        </w:rPr>
        <w:t xml:space="preserve"> </w:t>
      </w:r>
    </w:p>
    <w:p>
      <w:pPr>
        <w:pStyle w:val="44"/>
        <w:rPr>
          <w:rFonts w:hint="eastAsia" w:eastAsia="仿宋_GB2312"/>
          <w:lang w:eastAsia="zh-CN"/>
        </w:rPr>
      </w:pPr>
      <w:r>
        <w:rPr>
          <w:rFonts w:hint="eastAsia"/>
          <w:lang w:val="en-US" w:eastAsia="zh-CN"/>
        </w:rPr>
        <w:t>41</w:t>
      </w:r>
      <w:r>
        <w:rPr>
          <w:rFonts w:hint="eastAsia"/>
        </w:rPr>
        <w:t>.社会保障和就业支出（类）行政事业单位养老支出（款）机关事业单位基本养老保险缴费支出（项）:部门实施养老保险制度由单位缴纳的养老保险费的支出</w:t>
      </w:r>
      <w:r>
        <w:rPr>
          <w:rFonts w:hint="eastAsia"/>
          <w:lang w:eastAsia="zh-CN"/>
        </w:rPr>
        <w:t>。</w:t>
      </w:r>
    </w:p>
    <w:p>
      <w:pPr>
        <w:pStyle w:val="44"/>
        <w:rPr>
          <w:rFonts w:hint="eastAsia"/>
        </w:rPr>
      </w:pPr>
      <w:r>
        <w:rPr>
          <w:rFonts w:hint="eastAsia"/>
          <w:lang w:val="en-US" w:eastAsia="zh-CN"/>
        </w:rPr>
        <w:t>42</w:t>
      </w:r>
      <w:r>
        <w:rPr>
          <w:rFonts w:hint="eastAsia"/>
          <w:color w:val="auto"/>
        </w:rPr>
        <w:t>.社会保障和就业支出（类）抚恤（款）其他优抚支出（项）:反映其他用于优抚方面的支出。</w:t>
      </w:r>
      <w:r>
        <w:rPr>
          <w:rFonts w:hint="eastAsia"/>
          <w:color w:val="1F497D"/>
        </w:rPr>
        <w:t xml:space="preserve"> </w:t>
      </w:r>
    </w:p>
    <w:p>
      <w:pPr>
        <w:pStyle w:val="44"/>
        <w:rPr>
          <w:rFonts w:hint="eastAsia"/>
        </w:rPr>
      </w:pPr>
      <w:r>
        <w:rPr>
          <w:rFonts w:hint="eastAsia"/>
          <w:lang w:val="en-US" w:eastAsia="zh-CN"/>
        </w:rPr>
        <w:t>43</w:t>
      </w:r>
      <w:r>
        <w:rPr>
          <w:rFonts w:hint="eastAsia"/>
        </w:rPr>
        <w:t>.社会保障和就业支出（类）残疾人事业（款）其他残疾人事业支出（项）:指残疾人保证金的支出。</w:t>
      </w:r>
    </w:p>
    <w:p>
      <w:pPr>
        <w:pStyle w:val="44"/>
        <w:ind w:left="0" w:leftChars="0" w:firstLine="640" w:firstLineChars="200"/>
        <w:rPr>
          <w:rFonts w:hint="eastAsia"/>
          <w:highlight w:val="yellow"/>
        </w:rPr>
      </w:pPr>
      <w:r>
        <w:rPr>
          <w:rFonts w:hint="eastAsia"/>
          <w:lang w:val="en-US" w:eastAsia="zh-CN"/>
        </w:rPr>
        <w:t>44</w:t>
      </w:r>
      <w:r>
        <w:rPr>
          <w:rFonts w:hint="eastAsia"/>
        </w:rPr>
        <w:t>.社会保障和就业支出（类）其他社会保障和就业支出（款）其他社会保障和就业支出（项）:指除上述项目外，其他用于行政事业单位社会保障和就业方面的支出。</w:t>
      </w:r>
    </w:p>
    <w:p>
      <w:pPr>
        <w:pStyle w:val="44"/>
        <w:rPr>
          <w:rFonts w:hint="eastAsia"/>
          <w:lang w:val="en-US" w:eastAsia="zh-CN"/>
        </w:rPr>
      </w:pPr>
      <w:r>
        <w:rPr>
          <w:rFonts w:hint="eastAsia"/>
          <w:lang w:val="en-US" w:eastAsia="zh-CN"/>
        </w:rPr>
        <w:t>45.</w:t>
      </w:r>
      <w:r>
        <w:rPr>
          <w:rFonts w:hint="eastAsia"/>
        </w:rPr>
        <w:t>农林水支出（类）</w:t>
      </w:r>
      <w:r>
        <w:rPr>
          <w:rFonts w:hint="eastAsia"/>
          <w:lang w:eastAsia="zh-CN"/>
        </w:rPr>
        <w:t>扶贫</w:t>
      </w:r>
      <w:r>
        <w:rPr>
          <w:rFonts w:hint="eastAsia"/>
        </w:rPr>
        <w:t>（款）</w:t>
      </w:r>
      <w:r>
        <w:rPr>
          <w:rFonts w:hint="eastAsia"/>
          <w:lang w:eastAsia="zh-CN"/>
        </w:rPr>
        <w:t>其他扶贫支出</w:t>
      </w:r>
      <w:r>
        <w:rPr>
          <w:rFonts w:hint="eastAsia"/>
        </w:rPr>
        <w:t>（项）</w:t>
      </w:r>
      <w:r>
        <w:rPr>
          <w:rFonts w:hint="eastAsia"/>
          <w:lang w:eastAsia="zh-CN"/>
        </w:rPr>
        <w:t>：</w:t>
      </w:r>
      <w:r>
        <w:rPr>
          <w:rFonts w:hint="eastAsia"/>
        </w:rPr>
        <w:t>指对</w:t>
      </w:r>
      <w:r>
        <w:rPr>
          <w:rFonts w:hint="eastAsia"/>
          <w:lang w:eastAsia="zh-CN"/>
        </w:rPr>
        <w:t>其他扶贫</w:t>
      </w:r>
      <w:r>
        <w:rPr>
          <w:rFonts w:hint="eastAsia"/>
          <w:lang w:val="en-US" w:eastAsia="zh-CN"/>
        </w:rPr>
        <w:t>的支出。</w:t>
      </w:r>
    </w:p>
    <w:p>
      <w:pPr>
        <w:pStyle w:val="44"/>
        <w:rPr>
          <w:rFonts w:hint="default"/>
          <w:lang w:val="en-US" w:eastAsia="zh-CN"/>
        </w:rPr>
      </w:pPr>
      <w:r>
        <w:rPr>
          <w:rFonts w:hint="eastAsia"/>
          <w:lang w:val="en-US" w:eastAsia="zh-CN"/>
        </w:rPr>
        <w:t>46</w:t>
      </w:r>
      <w:r>
        <w:rPr>
          <w:rFonts w:hint="default"/>
          <w:lang w:val="en-US" w:eastAsia="zh-CN"/>
        </w:rPr>
        <w:t>.住房保障支出</w:t>
      </w:r>
      <w:r>
        <w:rPr>
          <w:rFonts w:hint="eastAsia"/>
          <w:lang w:val="en-US" w:eastAsia="zh-CN"/>
        </w:rPr>
        <w:t>（类）</w:t>
      </w:r>
      <w:r>
        <w:rPr>
          <w:rFonts w:hint="default"/>
          <w:lang w:val="en-US" w:eastAsia="zh-CN"/>
        </w:rPr>
        <w:t>保障性安居工程支出</w:t>
      </w:r>
      <w:r>
        <w:rPr>
          <w:rFonts w:hint="eastAsia"/>
        </w:rPr>
        <w:t>（款）</w:t>
      </w:r>
      <w:r>
        <w:rPr>
          <w:rFonts w:hint="default"/>
          <w:lang w:val="en-US" w:eastAsia="zh-CN"/>
        </w:rPr>
        <w:t>农村危房改造</w:t>
      </w:r>
      <w:r>
        <w:rPr>
          <w:rFonts w:hint="eastAsia"/>
        </w:rPr>
        <w:t>（项）</w:t>
      </w:r>
      <w:r>
        <w:rPr>
          <w:rFonts w:hint="default"/>
          <w:lang w:val="en-US" w:eastAsia="zh-CN"/>
        </w:rPr>
        <w:t>：</w:t>
      </w:r>
      <w:r>
        <w:rPr>
          <w:rFonts w:hint="eastAsia"/>
        </w:rPr>
        <w:t>指对</w:t>
      </w:r>
      <w:r>
        <w:rPr>
          <w:rFonts w:hint="default"/>
          <w:lang w:val="en-US" w:eastAsia="zh-CN"/>
        </w:rPr>
        <w:t>保障性安居工程</w:t>
      </w:r>
      <w:r>
        <w:rPr>
          <w:rFonts w:hint="eastAsia"/>
          <w:lang w:val="en-US" w:eastAsia="zh-CN"/>
        </w:rPr>
        <w:t>的</w:t>
      </w:r>
      <w:r>
        <w:rPr>
          <w:rFonts w:hint="default"/>
          <w:lang w:val="en-US" w:eastAsia="zh-CN"/>
        </w:rPr>
        <w:t>农村危房改造</w:t>
      </w:r>
      <w:r>
        <w:rPr>
          <w:rFonts w:hint="eastAsia"/>
          <w:lang w:val="en-US" w:eastAsia="zh-CN"/>
        </w:rPr>
        <w:t>的支出。</w:t>
      </w:r>
    </w:p>
    <w:p>
      <w:pPr>
        <w:pStyle w:val="44"/>
        <w:rPr>
          <w:rFonts w:hint="default"/>
          <w:lang w:val="en-US" w:eastAsia="zh-CN"/>
        </w:rPr>
      </w:pPr>
      <w:r>
        <w:rPr>
          <w:rFonts w:hint="eastAsia"/>
          <w:lang w:val="en-US" w:eastAsia="zh-CN"/>
        </w:rPr>
        <w:t>47</w:t>
      </w:r>
      <w:r>
        <w:rPr>
          <w:rFonts w:hint="default"/>
          <w:lang w:val="en-US" w:eastAsia="zh-CN"/>
        </w:rPr>
        <w:t>.住房保障支出</w:t>
      </w:r>
      <w:r>
        <w:rPr>
          <w:rFonts w:hint="eastAsia"/>
          <w:lang w:val="en-US" w:eastAsia="zh-CN"/>
        </w:rPr>
        <w:t>（类）</w:t>
      </w:r>
      <w:r>
        <w:rPr>
          <w:rFonts w:hint="default"/>
          <w:lang w:val="en-US" w:eastAsia="zh-CN"/>
        </w:rPr>
        <w:t>保障性安居工程支出</w:t>
      </w:r>
      <w:r>
        <w:rPr>
          <w:rFonts w:hint="eastAsia"/>
        </w:rPr>
        <w:t>（款）</w:t>
      </w:r>
      <w:r>
        <w:rPr>
          <w:rFonts w:hint="default"/>
          <w:lang w:val="en-US" w:eastAsia="zh-CN"/>
        </w:rPr>
        <w:t>老旧小区改造</w:t>
      </w:r>
      <w:r>
        <w:rPr>
          <w:rFonts w:hint="eastAsia"/>
        </w:rPr>
        <w:t>（项）</w:t>
      </w:r>
      <w:r>
        <w:rPr>
          <w:rFonts w:hint="default"/>
          <w:lang w:val="en-US" w:eastAsia="zh-CN"/>
        </w:rPr>
        <w:t>：</w:t>
      </w:r>
      <w:r>
        <w:rPr>
          <w:rFonts w:hint="eastAsia"/>
        </w:rPr>
        <w:t>指对</w:t>
      </w:r>
      <w:r>
        <w:rPr>
          <w:rFonts w:hint="default"/>
          <w:lang w:val="en-US" w:eastAsia="zh-CN"/>
        </w:rPr>
        <w:t>保障性安居工程</w:t>
      </w:r>
      <w:r>
        <w:rPr>
          <w:rFonts w:hint="eastAsia"/>
          <w:lang w:val="en-US" w:eastAsia="zh-CN"/>
        </w:rPr>
        <w:t>的</w:t>
      </w:r>
      <w:r>
        <w:rPr>
          <w:rFonts w:hint="default"/>
          <w:lang w:val="en-US" w:eastAsia="zh-CN"/>
        </w:rPr>
        <w:t>老旧小区改造</w:t>
      </w:r>
      <w:r>
        <w:rPr>
          <w:rFonts w:hint="eastAsia"/>
          <w:lang w:val="en-US" w:eastAsia="zh-CN"/>
        </w:rPr>
        <w:t>的支出。</w:t>
      </w:r>
    </w:p>
    <w:p>
      <w:pPr>
        <w:pStyle w:val="44"/>
        <w:rPr>
          <w:rFonts w:hint="default"/>
          <w:lang w:val="en-US" w:eastAsia="zh-CN"/>
        </w:rPr>
      </w:pPr>
      <w:r>
        <w:rPr>
          <w:rFonts w:hint="eastAsia"/>
          <w:lang w:val="en-US" w:eastAsia="zh-CN"/>
        </w:rPr>
        <w:t>48</w:t>
      </w:r>
      <w:r>
        <w:rPr>
          <w:rFonts w:hint="default"/>
          <w:lang w:val="en-US" w:eastAsia="zh-CN"/>
        </w:rPr>
        <w:t>.住房保障支出</w:t>
      </w:r>
      <w:r>
        <w:rPr>
          <w:rFonts w:hint="eastAsia"/>
          <w:lang w:val="en-US" w:eastAsia="zh-CN"/>
        </w:rPr>
        <w:t>（类）</w:t>
      </w:r>
      <w:r>
        <w:rPr>
          <w:rFonts w:hint="default"/>
          <w:lang w:val="en-US" w:eastAsia="zh-CN"/>
        </w:rPr>
        <w:t>保障性安居工程支出</w:t>
      </w:r>
      <w:r>
        <w:rPr>
          <w:rFonts w:hint="eastAsia"/>
        </w:rPr>
        <w:t>（款）</w:t>
      </w:r>
      <w:r>
        <w:rPr>
          <w:rFonts w:hint="default"/>
          <w:lang w:val="en-US" w:eastAsia="zh-CN"/>
        </w:rPr>
        <w:t>其他保障性安居工程支出</w:t>
      </w:r>
      <w:r>
        <w:rPr>
          <w:rFonts w:hint="eastAsia"/>
        </w:rPr>
        <w:t>（项）</w:t>
      </w:r>
      <w:r>
        <w:rPr>
          <w:rFonts w:hint="default"/>
          <w:lang w:val="en-US" w:eastAsia="zh-CN"/>
        </w:rPr>
        <w:t>：</w:t>
      </w:r>
      <w:r>
        <w:rPr>
          <w:rFonts w:hint="eastAsia"/>
        </w:rPr>
        <w:t>指对</w:t>
      </w:r>
      <w:r>
        <w:rPr>
          <w:rFonts w:hint="default"/>
          <w:lang w:val="en-US" w:eastAsia="zh-CN"/>
        </w:rPr>
        <w:t>保障性安居工程</w:t>
      </w:r>
      <w:r>
        <w:rPr>
          <w:rFonts w:hint="eastAsia"/>
          <w:lang w:val="en-US" w:eastAsia="zh-CN"/>
        </w:rPr>
        <w:t>的其他支出。</w:t>
      </w:r>
    </w:p>
    <w:p>
      <w:pPr>
        <w:pStyle w:val="44"/>
        <w:rPr>
          <w:rFonts w:hint="eastAsia"/>
          <w:lang w:val="en-US" w:eastAsia="zh-CN"/>
        </w:rPr>
      </w:pPr>
      <w:r>
        <w:rPr>
          <w:rFonts w:hint="eastAsia"/>
          <w:lang w:val="en-US" w:eastAsia="zh-CN"/>
        </w:rPr>
        <w:t>49.住房保障支出（类）住房改革支出（款）住房公积金（项）:指由单位及其在职职工按规定缴存的住房公积金支出。</w:t>
      </w:r>
    </w:p>
    <w:p>
      <w:pPr>
        <w:pStyle w:val="44"/>
        <w:rPr>
          <w:rFonts w:hint="eastAsia"/>
          <w:lang w:val="en-US" w:eastAsia="zh-CN"/>
        </w:rPr>
      </w:pPr>
      <w:r>
        <w:rPr>
          <w:rFonts w:hint="eastAsia"/>
          <w:lang w:val="en-US" w:eastAsia="zh-CN"/>
        </w:rPr>
        <w:t>50.国防支出（类）国防动员（款）民兵（项）：指对国防动员的民兵相关支出</w:t>
      </w:r>
    </w:p>
    <w:p>
      <w:pPr>
        <w:pStyle w:val="44"/>
        <w:rPr>
          <w:rFonts w:hint="default"/>
          <w:lang w:val="en-US" w:eastAsia="zh-CN"/>
        </w:rPr>
      </w:pPr>
      <w:r>
        <w:rPr>
          <w:rFonts w:hint="eastAsia"/>
          <w:lang w:val="en-US" w:eastAsia="zh-CN"/>
        </w:rPr>
        <w:t>51</w:t>
      </w:r>
      <w:r>
        <w:rPr>
          <w:rFonts w:hint="default"/>
          <w:lang w:val="en-US" w:eastAsia="zh-CN"/>
        </w:rPr>
        <w:t>.灾害防治及应急管理支出</w:t>
      </w:r>
      <w:r>
        <w:rPr>
          <w:rFonts w:hint="eastAsia"/>
          <w:lang w:val="en-US" w:eastAsia="zh-CN"/>
        </w:rPr>
        <w:t>（类）</w:t>
      </w:r>
      <w:r>
        <w:rPr>
          <w:rFonts w:hint="default"/>
          <w:lang w:val="en-US" w:eastAsia="zh-CN"/>
        </w:rPr>
        <w:t>自然灾害防治</w:t>
      </w:r>
      <w:r>
        <w:rPr>
          <w:rFonts w:hint="eastAsia"/>
          <w:lang w:val="en-US" w:eastAsia="zh-CN"/>
        </w:rPr>
        <w:t>（款）</w:t>
      </w:r>
      <w:r>
        <w:rPr>
          <w:rFonts w:hint="default"/>
          <w:lang w:val="en-US" w:eastAsia="zh-CN"/>
        </w:rPr>
        <w:t>地质灾害防治</w:t>
      </w:r>
      <w:r>
        <w:rPr>
          <w:rFonts w:hint="eastAsia"/>
          <w:lang w:val="en-US" w:eastAsia="zh-CN"/>
        </w:rPr>
        <w:t>（项）</w:t>
      </w:r>
      <w:r>
        <w:rPr>
          <w:rFonts w:hint="default"/>
          <w:lang w:val="en-US" w:eastAsia="zh-CN"/>
        </w:rPr>
        <w:t>：</w:t>
      </w:r>
      <w:r>
        <w:rPr>
          <w:rFonts w:hint="eastAsia"/>
          <w:lang w:val="en-US" w:eastAsia="zh-CN"/>
        </w:rPr>
        <w:t>指对</w:t>
      </w:r>
      <w:r>
        <w:rPr>
          <w:rFonts w:hint="default"/>
          <w:lang w:val="en-US" w:eastAsia="zh-CN"/>
        </w:rPr>
        <w:t>地质灾害防治</w:t>
      </w:r>
      <w:r>
        <w:rPr>
          <w:rFonts w:hint="eastAsia"/>
          <w:lang w:val="en-US" w:eastAsia="zh-CN"/>
        </w:rPr>
        <w:t>的支出</w:t>
      </w:r>
      <w:r>
        <w:rPr>
          <w:rFonts w:hint="default"/>
          <w:lang w:val="en-US" w:eastAsia="zh-CN"/>
        </w:rPr>
        <w:t>。</w:t>
      </w:r>
    </w:p>
    <w:p>
      <w:pPr>
        <w:pStyle w:val="44"/>
        <w:rPr>
          <w:rFonts w:hint="eastAsia"/>
          <w:lang w:val="en-US" w:eastAsia="zh-CN"/>
        </w:rPr>
      </w:pPr>
      <w:r>
        <w:rPr>
          <w:rFonts w:hint="eastAsia"/>
          <w:lang w:val="en-US" w:eastAsia="zh-CN"/>
        </w:rPr>
        <w:t>52.</w:t>
      </w:r>
      <w:r>
        <w:rPr>
          <w:rFonts w:hint="default"/>
          <w:lang w:val="en-US" w:eastAsia="zh-CN"/>
        </w:rPr>
        <w:t>灾害防治及应急管理支出</w:t>
      </w:r>
      <w:r>
        <w:rPr>
          <w:rFonts w:hint="eastAsia"/>
          <w:lang w:val="en-US" w:eastAsia="zh-CN"/>
        </w:rPr>
        <w:t>（类）</w:t>
      </w:r>
      <w:r>
        <w:rPr>
          <w:rFonts w:hint="default"/>
          <w:lang w:val="en-US" w:eastAsia="zh-CN"/>
        </w:rPr>
        <w:t>自然灾害救灾及恢复重建支出</w:t>
      </w:r>
      <w:r>
        <w:rPr>
          <w:rFonts w:hint="eastAsia"/>
          <w:lang w:val="en-US" w:eastAsia="zh-CN"/>
        </w:rPr>
        <w:t>（款）</w:t>
      </w:r>
      <w:r>
        <w:rPr>
          <w:rFonts w:hint="default"/>
          <w:lang w:val="en-US" w:eastAsia="zh-CN"/>
        </w:rPr>
        <w:t>自然灾害救灾补助</w:t>
      </w:r>
      <w:r>
        <w:rPr>
          <w:rFonts w:hint="eastAsia"/>
          <w:lang w:val="en-US" w:eastAsia="zh-CN"/>
        </w:rPr>
        <w:t>（项）：指对</w:t>
      </w:r>
      <w:r>
        <w:rPr>
          <w:rFonts w:hint="default"/>
          <w:lang w:val="en-US" w:eastAsia="zh-CN"/>
        </w:rPr>
        <w:t>自然灾害救灾及恢复重建</w:t>
      </w:r>
      <w:r>
        <w:rPr>
          <w:rFonts w:hint="eastAsia"/>
          <w:lang w:val="en-US" w:eastAsia="zh-CN"/>
        </w:rPr>
        <w:t>中</w:t>
      </w:r>
      <w:r>
        <w:rPr>
          <w:rFonts w:hint="default"/>
          <w:lang w:val="en-US" w:eastAsia="zh-CN"/>
        </w:rPr>
        <w:t>自然灾害救灾补助</w:t>
      </w:r>
      <w:r>
        <w:rPr>
          <w:rFonts w:hint="eastAsia"/>
          <w:lang w:val="en-US" w:eastAsia="zh-CN"/>
        </w:rPr>
        <w:t>支出。</w:t>
      </w:r>
    </w:p>
    <w:p>
      <w:pPr>
        <w:pStyle w:val="44"/>
        <w:rPr>
          <w:rFonts w:hint="eastAsia"/>
          <w:lang w:val="en-US" w:eastAsia="zh-CN"/>
        </w:rPr>
      </w:pPr>
      <w:r>
        <w:rPr>
          <w:rFonts w:hint="eastAsia"/>
          <w:lang w:val="en-US" w:eastAsia="zh-CN"/>
        </w:rPr>
        <w:t>53.</w:t>
      </w:r>
      <w:r>
        <w:rPr>
          <w:rFonts w:hint="eastAsia" w:cs="Times New Roman"/>
          <w:lang w:val="en-US" w:eastAsia="zh-CN"/>
        </w:rPr>
        <w:t>灾害防治及应急管理支出</w:t>
      </w:r>
      <w:r>
        <w:rPr>
          <w:rFonts w:hint="eastAsia"/>
          <w:lang w:val="en-US" w:eastAsia="zh-CN"/>
        </w:rPr>
        <w:t>（类）</w:t>
      </w:r>
      <w:r>
        <w:rPr>
          <w:rFonts w:hint="eastAsia" w:cs="Times New Roman"/>
          <w:lang w:val="en-US" w:eastAsia="zh-CN"/>
        </w:rPr>
        <w:t>地震事务</w:t>
      </w:r>
      <w:r>
        <w:rPr>
          <w:rFonts w:hint="eastAsia"/>
          <w:lang w:val="en-US" w:eastAsia="zh-CN"/>
        </w:rPr>
        <w:t>（款）</w:t>
      </w:r>
      <w:r>
        <w:rPr>
          <w:rFonts w:hint="eastAsia" w:cs="Times New Roman"/>
          <w:lang w:val="en-US" w:eastAsia="zh-CN"/>
        </w:rPr>
        <w:t>地震预测预报</w:t>
      </w:r>
      <w:r>
        <w:rPr>
          <w:rFonts w:hint="eastAsia"/>
          <w:lang w:val="en-US" w:eastAsia="zh-CN"/>
        </w:rPr>
        <w:t>（项）：指对</w:t>
      </w:r>
      <w:r>
        <w:rPr>
          <w:rFonts w:hint="eastAsia" w:cs="Times New Roman"/>
          <w:lang w:val="en-US" w:eastAsia="zh-CN"/>
        </w:rPr>
        <w:t>地震事务</w:t>
      </w:r>
      <w:r>
        <w:rPr>
          <w:rFonts w:hint="eastAsia"/>
          <w:lang w:val="en-US" w:eastAsia="zh-CN"/>
        </w:rPr>
        <w:t>中</w:t>
      </w:r>
      <w:r>
        <w:rPr>
          <w:rFonts w:hint="eastAsia" w:cs="Times New Roman"/>
          <w:lang w:val="en-US" w:eastAsia="zh-CN"/>
        </w:rPr>
        <w:t>地震预测预报</w:t>
      </w:r>
      <w:r>
        <w:rPr>
          <w:rFonts w:hint="eastAsia"/>
          <w:lang w:val="en-US" w:eastAsia="zh-CN"/>
        </w:rPr>
        <w:t>相关支出。</w:t>
      </w:r>
    </w:p>
    <w:p>
      <w:pPr>
        <w:pStyle w:val="44"/>
        <w:rPr>
          <w:rFonts w:hint="default"/>
          <w:lang w:val="en-US" w:eastAsia="zh-CN"/>
        </w:rPr>
      </w:pPr>
      <w:r>
        <w:rPr>
          <w:rFonts w:hint="eastAsia"/>
          <w:lang w:val="en-US" w:eastAsia="zh-CN"/>
        </w:rPr>
        <w:t>54.节能环保支出（类）自然生态保护（款）生态保护（项）：指对自然生态保护中生态保护相关支出。</w:t>
      </w:r>
    </w:p>
    <w:p>
      <w:pPr>
        <w:pStyle w:val="34"/>
        <w:spacing w:line="560" w:lineRule="exact"/>
        <w:ind w:firstLine="640" w:firstLineChars="200"/>
        <w:rPr>
          <w:rFonts w:ascii="仿宋_GB2312" w:eastAsia="仿宋_GB2312" w:cs="黑体"/>
          <w:color w:val="auto"/>
          <w:sz w:val="32"/>
          <w:szCs w:val="32"/>
          <w:highlight w:val="none"/>
        </w:rPr>
      </w:pPr>
    </w:p>
    <w:p>
      <w:pPr>
        <w:spacing w:line="600" w:lineRule="exact"/>
        <w:jc w:val="center"/>
        <w:outlineLvl w:val="0"/>
        <w:rPr>
          <w:rStyle w:val="36"/>
          <w:rFonts w:ascii="黑体" w:hAnsi="黑体" w:eastAsia="黑体"/>
          <w:b w:val="0"/>
          <w:color w:val="auto"/>
          <w:highlight w:val="none"/>
        </w:rPr>
      </w:pPr>
      <w:bookmarkStart w:id="70" w:name="_Toc15377226"/>
      <w:r>
        <w:rPr>
          <w:rFonts w:ascii="宋体"/>
          <w:b/>
          <w:color w:val="auto"/>
          <w:sz w:val="44"/>
          <w:szCs w:val="44"/>
          <w:highlight w:val="none"/>
        </w:rPr>
        <w:br w:type="page"/>
      </w:r>
      <w:bookmarkStart w:id="71" w:name="_Toc1947"/>
      <w:bookmarkStart w:id="72" w:name="_Toc15396614"/>
      <w:r>
        <w:rPr>
          <w:rFonts w:hint="eastAsia" w:ascii="黑体" w:hAnsi="黑体" w:eastAsia="黑体"/>
          <w:color w:val="auto"/>
          <w:sz w:val="44"/>
          <w:szCs w:val="44"/>
          <w:highlight w:val="none"/>
        </w:rPr>
        <w:t>第</w:t>
      </w:r>
      <w:r>
        <w:rPr>
          <w:rStyle w:val="36"/>
          <w:rFonts w:hint="eastAsia" w:ascii="黑体" w:hAnsi="黑体" w:eastAsia="黑体"/>
          <w:b w:val="0"/>
          <w:color w:val="auto"/>
          <w:highlight w:val="none"/>
        </w:rPr>
        <w:t>四部分 附件</w:t>
      </w:r>
      <w:bookmarkEnd w:id="71"/>
      <w:bookmarkEnd w:id="72"/>
    </w:p>
    <w:p>
      <w:pPr>
        <w:keepNext w:val="0"/>
        <w:keepLines w:val="0"/>
        <w:pageBreakBefore w:val="0"/>
        <w:kinsoku/>
        <w:wordWrap/>
        <w:overflowPunct/>
        <w:topLinePunct w:val="0"/>
        <w:autoSpaceDE/>
        <w:autoSpaceDN/>
        <w:bidi w:val="0"/>
        <w:spacing w:line="572" w:lineRule="exact"/>
        <w:jc w:val="left"/>
        <w:textAlignment w:val="auto"/>
        <w:outlineLvl w:val="1"/>
        <w:rPr>
          <w:rFonts w:ascii="仿宋_GB2312" w:hAnsi="仿宋_GB2312" w:eastAsia="仿宋_GB2312" w:cs="仿宋_GB2312"/>
          <w:color w:val="auto"/>
          <w:sz w:val="32"/>
          <w:szCs w:val="32"/>
          <w:highlight w:val="none"/>
        </w:rPr>
      </w:pPr>
      <w:bookmarkStart w:id="73" w:name="_Toc20856"/>
      <w:r>
        <w:rPr>
          <w:rFonts w:hint="eastAsia" w:ascii="黑体" w:hAnsi="黑体" w:eastAsia="黑体" w:cs="黑体"/>
          <w:color w:val="auto"/>
          <w:sz w:val="32"/>
          <w:szCs w:val="32"/>
          <w:highlight w:val="none"/>
        </w:rPr>
        <w:t>附件</w:t>
      </w:r>
      <w:bookmarkEnd w:id="73"/>
    </w:p>
    <w:tbl>
      <w:tblPr>
        <w:tblStyle w:val="21"/>
        <w:tblpPr w:leftFromText="180" w:rightFromText="180" w:vertAnchor="text" w:horzAnchor="page" w:tblpXSpec="center" w:tblpY="660"/>
        <w:tblOverlap w:val="never"/>
        <w:tblW w:w="103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62"/>
        <w:gridCol w:w="1140"/>
        <w:gridCol w:w="2134"/>
        <w:gridCol w:w="1594"/>
        <w:gridCol w:w="1784"/>
        <w:gridCol w:w="1783"/>
        <w:gridCol w:w="2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jc w:val="center"/>
        </w:trPr>
        <w:tc>
          <w:tcPr>
            <w:tcW w:w="10097" w:type="dxa"/>
            <w:gridSpan w:val="6"/>
            <w:tcBorders>
              <w:top w:val="nil"/>
              <w:left w:val="nil"/>
              <w:bottom w:val="nil"/>
              <w:right w:val="nil"/>
            </w:tcBorders>
            <w:shd w:val="clear" w:color="auto" w:fill="auto"/>
            <w:vAlign w:val="center"/>
          </w:tcPr>
          <w:p>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u w:val="none"/>
              </w:rPr>
            </w:pPr>
            <w:bookmarkStart w:id="74" w:name="_Toc15396618"/>
            <w:r>
              <w:rPr>
                <w:rFonts w:hint="eastAsia" w:ascii="宋体" w:hAnsi="宋体" w:cs="宋体"/>
                <w:b/>
                <w:sz w:val="32"/>
                <w:szCs w:val="32"/>
              </w:rPr>
              <w:t>2021年特定目标类部门预算项目绩效目标自评</w:t>
            </w:r>
          </w:p>
        </w:tc>
        <w:tc>
          <w:tcPr>
            <w:tcW w:w="2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651" w:hRule="atLeast"/>
          <w:jc w:val="center"/>
        </w:trPr>
        <w:tc>
          <w:tcPr>
            <w:tcW w:w="28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主管部门及代码</w:t>
            </w:r>
          </w:p>
        </w:tc>
        <w:tc>
          <w:tcPr>
            <w:tcW w:w="3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735862410</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实施单位</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乐山市沙湾区妇幼计生服务中心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260" w:hRule="atLeast"/>
          <w:jc w:val="center"/>
        </w:trPr>
        <w:tc>
          <w:tcPr>
            <w:tcW w:w="28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项目预算</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执行情况</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（万元）</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预算数：</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lang w:val="en-US" w:eastAsia="zh-CN"/>
              </w:rPr>
              <w:t>300.00</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执行数：</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lang w:val="en-US" w:eastAsia="zh-CN"/>
              </w:rPr>
              <w:t>300.00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153" w:hRule="atLeast"/>
          <w:jc w:val="center"/>
        </w:trPr>
        <w:tc>
          <w:tcPr>
            <w:tcW w:w="28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lang w:val="en-US" w:eastAsia="zh-CN"/>
              </w:rPr>
              <w:t>300.00</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lang w:val="en-US" w:eastAsia="zh-CN"/>
              </w:rPr>
              <w:t>300.00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90" w:hRule="atLeast"/>
          <w:jc w:val="center"/>
        </w:trPr>
        <w:tc>
          <w:tcPr>
            <w:tcW w:w="28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cs="宋体"/>
                <w:i w:val="0"/>
                <w:iCs w:val="0"/>
                <w:color w:val="auto"/>
                <w:kern w:val="0"/>
                <w:sz w:val="22"/>
                <w:szCs w:val="22"/>
                <w:u w:val="none"/>
                <w:lang w:val="en-US" w:eastAsia="zh-CN" w:bidi="ar"/>
              </w:rPr>
              <w:t>0.00</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cs="宋体"/>
                <w:i w:val="0"/>
                <w:iCs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90" w:hRule="atLeast"/>
          <w:jc w:val="center"/>
        </w:trPr>
        <w:tc>
          <w:tcPr>
            <w:tcW w:w="1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年度总体目标</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完成情况</w:t>
            </w:r>
          </w:p>
        </w:tc>
        <w:tc>
          <w:tcPr>
            <w:tcW w:w="48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预期目标</w:t>
            </w:r>
          </w:p>
        </w:tc>
        <w:tc>
          <w:tcPr>
            <w:tcW w:w="3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228" w:hRule="atLeast"/>
          <w:jc w:val="center"/>
        </w:trPr>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4868"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完成201806-2018年全民健康保障工程中央预算内基建投资（妇幼保健和计生中心综合楼建设）</w:t>
            </w:r>
            <w:r>
              <w:rPr>
                <w:rFonts w:hint="eastAsia" w:ascii="宋体" w:hAnsi="宋体" w:eastAsia="宋体" w:cs="宋体"/>
                <w:i w:val="0"/>
                <w:color w:val="auto"/>
                <w:kern w:val="0"/>
                <w:sz w:val="24"/>
                <w:szCs w:val="24"/>
                <w:u w:val="none"/>
                <w:lang w:val="en-US" w:eastAsia="zh-CN" w:bidi="ar"/>
              </w:rPr>
              <w:t>工作</w:t>
            </w:r>
          </w:p>
        </w:tc>
        <w:tc>
          <w:tcPr>
            <w:tcW w:w="3567"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完成201806-2018年全民健康保障工程中央预算内基建投资（妇幼保健和计生中心综合楼建设）</w:t>
            </w:r>
            <w:r>
              <w:rPr>
                <w:rFonts w:hint="eastAsia" w:ascii="宋体" w:hAnsi="宋体" w:eastAsia="宋体" w:cs="宋体"/>
                <w:i w:val="0"/>
                <w:color w:val="auto"/>
                <w:kern w:val="0"/>
                <w:sz w:val="24"/>
                <w:szCs w:val="24"/>
                <w:u w:val="none"/>
                <w:lang w:val="en-US" w:eastAsia="zh-CN" w:bidi="ar"/>
              </w:rPr>
              <w:t>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153" w:hRule="atLeast"/>
          <w:jc w:val="center"/>
        </w:trPr>
        <w:tc>
          <w:tcPr>
            <w:tcW w:w="166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年度绩效指标完成情况</w:t>
            </w:r>
          </w:p>
        </w:tc>
        <w:tc>
          <w:tcPr>
            <w:tcW w:w="114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二级</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预期指标值</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90"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数量指标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 xml:space="preserve"> 指标1：无</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无</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90"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质量指标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 xml:space="preserve"> 指标1：无</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无</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153"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时效指标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指标1：完成时间</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2021年底</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153"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成本指标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指标1：经费</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经费</w:t>
            </w:r>
            <w:r>
              <w:rPr>
                <w:rFonts w:hint="eastAsia"/>
                <w:lang w:val="en-US" w:eastAsia="zh-CN"/>
              </w:rPr>
              <w:t>300.00</w:t>
            </w:r>
            <w:r>
              <w:rPr>
                <w:rFonts w:hint="eastAsia" w:ascii="宋体" w:hAnsi="宋体" w:eastAsia="宋体" w:cs="宋体"/>
                <w:i w:val="0"/>
                <w:color w:val="auto"/>
                <w:kern w:val="0"/>
                <w:sz w:val="24"/>
                <w:szCs w:val="24"/>
                <w:u w:val="none"/>
                <w:lang w:val="en-US" w:eastAsia="zh-CN" w:bidi="ar"/>
              </w:rPr>
              <w:t>万元</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经费</w:t>
            </w:r>
            <w:r>
              <w:rPr>
                <w:rFonts w:hint="eastAsia"/>
                <w:lang w:val="en-US" w:eastAsia="zh-CN"/>
              </w:rPr>
              <w:t>300.00</w:t>
            </w:r>
            <w:r>
              <w:rPr>
                <w:rFonts w:hint="eastAsia" w:ascii="宋体" w:hAnsi="宋体" w:eastAsia="宋体" w:cs="宋体"/>
                <w:i w:val="0"/>
                <w:color w:val="auto"/>
                <w:kern w:val="0"/>
                <w:sz w:val="24"/>
                <w:szCs w:val="24"/>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90"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效益</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经济效益指标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指标1：无</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680"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社会效益  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 xml:space="preserve"> 指标1：</w:t>
            </w:r>
            <w:r>
              <w:rPr>
                <w:rFonts w:hint="eastAsia" w:ascii="宋体" w:hAnsi="宋体" w:cs="宋体"/>
                <w:i w:val="0"/>
                <w:color w:val="auto"/>
                <w:kern w:val="0"/>
                <w:sz w:val="24"/>
                <w:szCs w:val="24"/>
                <w:u w:val="none"/>
                <w:lang w:val="en-US" w:eastAsia="zh-CN" w:bidi="ar"/>
              </w:rPr>
              <w:t>完成201806-2018年全民健康保障工程中央预算内基建投资（妇幼保健和计生中心综合楼建设）</w:t>
            </w:r>
            <w:r>
              <w:rPr>
                <w:rFonts w:hint="eastAsia" w:ascii="宋体" w:hAnsi="宋体" w:eastAsia="宋体" w:cs="宋体"/>
                <w:i w:val="0"/>
                <w:color w:val="auto"/>
                <w:kern w:val="0"/>
                <w:sz w:val="24"/>
                <w:szCs w:val="24"/>
                <w:u w:val="none"/>
                <w:lang w:val="en-US" w:eastAsia="zh-CN" w:bidi="ar"/>
              </w:rPr>
              <w:t>工作</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完成201806-2018年全民健康保障工程中央预算内基建投资（妇幼保健和计生中心综合楼建设）</w:t>
            </w:r>
            <w:r>
              <w:rPr>
                <w:rFonts w:hint="eastAsia" w:ascii="宋体" w:hAnsi="宋体" w:eastAsia="宋体" w:cs="宋体"/>
                <w:i w:val="0"/>
                <w:color w:val="auto"/>
                <w:kern w:val="0"/>
                <w:sz w:val="24"/>
                <w:szCs w:val="24"/>
                <w:u w:val="none"/>
                <w:lang w:val="en-US" w:eastAsia="zh-CN" w:bidi="ar"/>
              </w:rPr>
              <w:t>工作</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完成201806-2018年全民健康保障工程中央预算内基建投资（妇幼保健和计生中心综合楼建设）</w:t>
            </w:r>
            <w:r>
              <w:rPr>
                <w:rFonts w:hint="eastAsia" w:ascii="宋体" w:hAnsi="宋体" w:eastAsia="宋体" w:cs="宋体"/>
                <w:i w:val="0"/>
                <w:color w:val="auto"/>
                <w:kern w:val="0"/>
                <w:sz w:val="24"/>
                <w:szCs w:val="24"/>
                <w:u w:val="none"/>
                <w:lang w:val="en-US" w:eastAsia="zh-CN" w:bidi="ar"/>
              </w:rPr>
              <w:t>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153"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生态效益  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指标1：无</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153"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可持续影响 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rPr>
              <w:t>指标1：无</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169" w:hRule="atLeast"/>
          <w:jc w:val="center"/>
        </w:trPr>
        <w:tc>
          <w:tcPr>
            <w:tcW w:w="166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满意</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度指标</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rPr>
              <w:t>指标1：</w:t>
            </w:r>
            <w:r>
              <w:rPr>
                <w:rFonts w:hint="eastAsia" w:ascii="宋体" w:hAnsi="宋体" w:cs="宋体"/>
                <w:color w:val="000000"/>
                <w:kern w:val="0"/>
                <w:sz w:val="24"/>
                <w:lang w:val="en-US" w:eastAsia="zh-CN"/>
              </w:rPr>
              <w:t>服务对象</w:t>
            </w:r>
            <w:r>
              <w:rPr>
                <w:rFonts w:hint="eastAsia" w:ascii="宋体" w:hAnsi="宋体" w:cs="宋体"/>
                <w:color w:val="000000"/>
                <w:kern w:val="0"/>
                <w:sz w:val="24"/>
              </w:rPr>
              <w:t>满意</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lang w:val="en-US" w:eastAsia="zh-CN"/>
              </w:rPr>
              <w:t>服务对象</w:t>
            </w:r>
            <w:r>
              <w:rPr>
                <w:rFonts w:hint="eastAsia" w:ascii="宋体" w:hAnsi="宋体" w:cs="宋体"/>
                <w:color w:val="000000"/>
                <w:kern w:val="0"/>
                <w:sz w:val="24"/>
              </w:rPr>
              <w:t>满意</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lang w:val="en-US" w:eastAsia="zh-CN"/>
              </w:rPr>
              <w:t>服务对象</w:t>
            </w:r>
            <w:r>
              <w:rPr>
                <w:rFonts w:hint="eastAsia" w:ascii="宋体" w:hAnsi="宋体" w:cs="宋体"/>
                <w:color w:val="000000"/>
                <w:kern w:val="0"/>
                <w:sz w:val="24"/>
              </w:rPr>
              <w:t>满意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10097" w:type="dxa"/>
            <w:gridSpan w:val="6"/>
            <w:tcBorders>
              <w:top w:val="nil"/>
              <w:left w:val="nil"/>
              <w:bottom w:val="nil"/>
              <w:right w:val="nil"/>
            </w:tcBorders>
            <w:shd w:val="clear" w:color="auto" w:fill="auto"/>
            <w:vAlign w:val="center"/>
          </w:tcPr>
          <w:p>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u w:val="none"/>
              </w:rPr>
            </w:pPr>
            <w:r>
              <w:rPr>
                <w:rFonts w:hint="eastAsia" w:ascii="宋体" w:hAnsi="宋体" w:cs="宋体"/>
                <w:b/>
                <w:sz w:val="32"/>
                <w:szCs w:val="32"/>
              </w:rPr>
              <w:t>2021年特定目标类部门预算项目绩效目标自评</w:t>
            </w:r>
          </w:p>
        </w:tc>
        <w:tc>
          <w:tcPr>
            <w:tcW w:w="2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651" w:hRule="atLeast"/>
          <w:jc w:val="center"/>
        </w:trPr>
        <w:tc>
          <w:tcPr>
            <w:tcW w:w="28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主管部门及代码</w:t>
            </w:r>
          </w:p>
        </w:tc>
        <w:tc>
          <w:tcPr>
            <w:tcW w:w="3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735862410</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实施单位</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乐山市沙湾区妇幼计生服务中心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260" w:hRule="atLeast"/>
          <w:jc w:val="center"/>
        </w:trPr>
        <w:tc>
          <w:tcPr>
            <w:tcW w:w="28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项目预算</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执行情况</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（万元）</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预算数：</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lang w:val="en-US" w:eastAsia="zh-CN"/>
              </w:rPr>
              <w:t>118.55</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执行数：</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lang w:val="en-US" w:eastAsia="zh-CN"/>
              </w:rPr>
              <w:t>118.55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153" w:hRule="atLeast"/>
          <w:jc w:val="center"/>
        </w:trPr>
        <w:tc>
          <w:tcPr>
            <w:tcW w:w="28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lang w:val="en-US" w:eastAsia="zh-CN"/>
              </w:rPr>
              <w:t>118.55</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lang w:val="en-US" w:eastAsia="zh-CN"/>
              </w:rPr>
              <w:t>118.55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90" w:hRule="atLeast"/>
          <w:jc w:val="center"/>
        </w:trPr>
        <w:tc>
          <w:tcPr>
            <w:tcW w:w="28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cs="宋体"/>
                <w:i w:val="0"/>
                <w:iCs w:val="0"/>
                <w:color w:val="auto"/>
                <w:kern w:val="0"/>
                <w:sz w:val="22"/>
                <w:szCs w:val="22"/>
                <w:u w:val="none"/>
                <w:lang w:val="en-US" w:eastAsia="zh-CN" w:bidi="ar"/>
              </w:rPr>
              <w:t>0.00</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cs="宋体"/>
                <w:i w:val="0"/>
                <w:iCs w:val="0"/>
                <w:color w:val="auto"/>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90" w:hRule="atLeast"/>
          <w:jc w:val="center"/>
        </w:trPr>
        <w:tc>
          <w:tcPr>
            <w:tcW w:w="1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年度总体目标</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完成情况</w:t>
            </w:r>
          </w:p>
        </w:tc>
        <w:tc>
          <w:tcPr>
            <w:tcW w:w="48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预期目标</w:t>
            </w:r>
          </w:p>
        </w:tc>
        <w:tc>
          <w:tcPr>
            <w:tcW w:w="3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228" w:hRule="atLeast"/>
          <w:jc w:val="center"/>
        </w:trPr>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4868"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完成2019006-医疗服务能力提升公立医院综合改革</w:t>
            </w:r>
            <w:r>
              <w:rPr>
                <w:rFonts w:hint="eastAsia" w:ascii="宋体" w:hAnsi="宋体" w:eastAsia="宋体" w:cs="宋体"/>
                <w:i w:val="0"/>
                <w:color w:val="auto"/>
                <w:kern w:val="0"/>
                <w:sz w:val="24"/>
                <w:szCs w:val="24"/>
                <w:u w:val="none"/>
                <w:lang w:val="en-US" w:eastAsia="zh-CN" w:bidi="ar"/>
              </w:rPr>
              <w:t>工作</w:t>
            </w:r>
          </w:p>
        </w:tc>
        <w:tc>
          <w:tcPr>
            <w:tcW w:w="3567"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完成2019006-医疗服务能力提升公立医院综合改革</w:t>
            </w:r>
            <w:r>
              <w:rPr>
                <w:rFonts w:hint="eastAsia" w:ascii="宋体" w:hAnsi="宋体" w:eastAsia="宋体" w:cs="宋体"/>
                <w:i w:val="0"/>
                <w:color w:val="auto"/>
                <w:kern w:val="0"/>
                <w:sz w:val="24"/>
                <w:szCs w:val="24"/>
                <w:u w:val="none"/>
                <w:lang w:val="en-US" w:eastAsia="zh-CN" w:bidi="ar"/>
              </w:rPr>
              <w:t>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153" w:hRule="atLeast"/>
          <w:jc w:val="center"/>
        </w:trPr>
        <w:tc>
          <w:tcPr>
            <w:tcW w:w="166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年度绩效指标完成情况</w:t>
            </w:r>
          </w:p>
        </w:tc>
        <w:tc>
          <w:tcPr>
            <w:tcW w:w="114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二级</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预期指标值</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90"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数量指标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 xml:space="preserve"> 指标1：无</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无</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90"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质量指标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 xml:space="preserve"> 指标1：无</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无</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153"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时效指标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指标1：完成时间</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2021年底</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153"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成本指标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指标1：经费</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经费</w:t>
            </w:r>
            <w:r>
              <w:rPr>
                <w:rFonts w:hint="eastAsia"/>
                <w:lang w:val="en-US" w:eastAsia="zh-CN"/>
              </w:rPr>
              <w:t>118.55</w:t>
            </w:r>
            <w:r>
              <w:rPr>
                <w:rFonts w:hint="eastAsia" w:ascii="宋体" w:hAnsi="宋体" w:eastAsia="宋体" w:cs="宋体"/>
                <w:i w:val="0"/>
                <w:color w:val="auto"/>
                <w:kern w:val="0"/>
                <w:sz w:val="24"/>
                <w:szCs w:val="24"/>
                <w:u w:val="none"/>
                <w:lang w:val="en-US" w:eastAsia="zh-CN" w:bidi="ar"/>
              </w:rPr>
              <w:t>万元</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经费</w:t>
            </w:r>
            <w:r>
              <w:rPr>
                <w:rFonts w:hint="eastAsia"/>
                <w:lang w:val="en-US" w:eastAsia="zh-CN"/>
              </w:rPr>
              <w:t>118.55</w:t>
            </w:r>
            <w:r>
              <w:rPr>
                <w:rFonts w:hint="eastAsia" w:ascii="宋体" w:hAnsi="宋体" w:eastAsia="宋体" w:cs="宋体"/>
                <w:i w:val="0"/>
                <w:color w:val="auto"/>
                <w:kern w:val="0"/>
                <w:sz w:val="24"/>
                <w:szCs w:val="24"/>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90"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效益</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经济效益指标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指标1：无</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680"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社会效益  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 xml:space="preserve"> 指标1：</w:t>
            </w:r>
            <w:r>
              <w:rPr>
                <w:rFonts w:hint="eastAsia" w:ascii="宋体" w:hAnsi="宋体" w:cs="宋体"/>
                <w:i w:val="0"/>
                <w:color w:val="auto"/>
                <w:kern w:val="0"/>
                <w:sz w:val="24"/>
                <w:szCs w:val="24"/>
                <w:u w:val="none"/>
                <w:lang w:val="en-US" w:eastAsia="zh-CN" w:bidi="ar"/>
              </w:rPr>
              <w:t>完成2019006-医疗服务能力提升公立医院综合改革</w:t>
            </w:r>
            <w:r>
              <w:rPr>
                <w:rFonts w:hint="eastAsia" w:ascii="宋体" w:hAnsi="宋体" w:eastAsia="宋体" w:cs="宋体"/>
                <w:i w:val="0"/>
                <w:color w:val="auto"/>
                <w:kern w:val="0"/>
                <w:sz w:val="24"/>
                <w:szCs w:val="24"/>
                <w:u w:val="none"/>
                <w:lang w:val="en-US" w:eastAsia="zh-CN" w:bidi="ar"/>
              </w:rPr>
              <w:t>工作</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完成2019006-医疗服务能力提升公立医院综合改革</w:t>
            </w:r>
            <w:r>
              <w:rPr>
                <w:rFonts w:hint="eastAsia" w:ascii="宋体" w:hAnsi="宋体" w:eastAsia="宋体" w:cs="宋体"/>
                <w:i w:val="0"/>
                <w:color w:val="auto"/>
                <w:kern w:val="0"/>
                <w:sz w:val="24"/>
                <w:szCs w:val="24"/>
                <w:u w:val="none"/>
                <w:lang w:val="en-US" w:eastAsia="zh-CN" w:bidi="ar"/>
              </w:rPr>
              <w:t>工作</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完成2019006-医疗服务能力提升公立医院综合改革</w:t>
            </w:r>
            <w:r>
              <w:rPr>
                <w:rFonts w:hint="eastAsia" w:ascii="宋体" w:hAnsi="宋体" w:eastAsia="宋体" w:cs="宋体"/>
                <w:i w:val="0"/>
                <w:color w:val="auto"/>
                <w:kern w:val="0"/>
                <w:sz w:val="24"/>
                <w:szCs w:val="24"/>
                <w:u w:val="none"/>
                <w:lang w:val="en-US" w:eastAsia="zh-CN" w:bidi="ar"/>
              </w:rPr>
              <w:t>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153"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生态效益  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指标1：无</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153" w:hRule="atLeast"/>
          <w:jc w:val="center"/>
        </w:trPr>
        <w:tc>
          <w:tcPr>
            <w:tcW w:w="1662"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可持续影响 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rPr>
              <w:t>指标1：无</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2" w:type="dxa"/>
          <w:trHeight w:val="169" w:hRule="atLeast"/>
          <w:jc w:val="center"/>
        </w:trPr>
        <w:tc>
          <w:tcPr>
            <w:tcW w:w="166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满意</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度指标</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rPr>
              <w:t>指标1：</w:t>
            </w:r>
            <w:r>
              <w:rPr>
                <w:rFonts w:hint="eastAsia" w:ascii="宋体" w:hAnsi="宋体" w:cs="宋体"/>
                <w:color w:val="000000"/>
                <w:kern w:val="0"/>
                <w:sz w:val="24"/>
                <w:lang w:val="en-US" w:eastAsia="zh-CN"/>
              </w:rPr>
              <w:t>服务对象</w:t>
            </w:r>
            <w:r>
              <w:rPr>
                <w:rFonts w:hint="eastAsia" w:ascii="宋体" w:hAnsi="宋体" w:cs="宋体"/>
                <w:color w:val="000000"/>
                <w:kern w:val="0"/>
                <w:sz w:val="24"/>
              </w:rPr>
              <w:t>满意</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lang w:val="en-US" w:eastAsia="zh-CN"/>
              </w:rPr>
              <w:t>服务对象</w:t>
            </w:r>
            <w:r>
              <w:rPr>
                <w:rFonts w:hint="eastAsia" w:ascii="宋体" w:hAnsi="宋体" w:cs="宋体"/>
                <w:color w:val="000000"/>
                <w:kern w:val="0"/>
                <w:sz w:val="24"/>
              </w:rPr>
              <w:t>满意</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cs="宋体"/>
                <w:color w:val="000000"/>
                <w:kern w:val="0"/>
                <w:sz w:val="24"/>
                <w:lang w:val="en-US" w:eastAsia="zh-CN"/>
              </w:rPr>
              <w:t>服务对象</w:t>
            </w:r>
            <w:r>
              <w:rPr>
                <w:rFonts w:hint="eastAsia" w:ascii="宋体" w:hAnsi="宋体" w:cs="宋体"/>
                <w:color w:val="000000"/>
                <w:kern w:val="0"/>
                <w:sz w:val="24"/>
              </w:rPr>
              <w:t>满意</w:t>
            </w:r>
          </w:p>
        </w:tc>
      </w:tr>
    </w:tbl>
    <w:p>
      <w:pPr>
        <w:pStyle w:val="19"/>
        <w:ind w:left="0" w:leftChars="0" w:firstLine="0" w:firstLineChars="0"/>
        <w:rPr>
          <w:rFonts w:hint="eastAsia"/>
        </w:rPr>
      </w:pPr>
    </w:p>
    <w:p>
      <w:pPr>
        <w:pStyle w:val="19"/>
        <w:ind w:left="0" w:leftChars="0" w:firstLine="0" w:firstLineChars="0"/>
        <w:rPr>
          <w:rFonts w:hint="eastAsia"/>
        </w:rPr>
      </w:pPr>
    </w:p>
    <w:p>
      <w:pPr>
        <w:pStyle w:val="19"/>
        <w:ind w:left="0" w:leftChars="0" w:firstLine="0" w:firstLineChars="0"/>
        <w:rPr>
          <w:rFonts w:hint="eastAsia"/>
        </w:rPr>
      </w:pPr>
    </w:p>
    <w:p>
      <w:pPr>
        <w:pStyle w:val="19"/>
        <w:ind w:left="0" w:leftChars="0" w:firstLine="0" w:firstLineChars="0"/>
        <w:rPr>
          <w:rFonts w:hint="eastAsia"/>
        </w:rPr>
      </w:pPr>
    </w:p>
    <w:p>
      <w:pPr>
        <w:spacing w:line="600" w:lineRule="exact"/>
        <w:jc w:val="center"/>
        <w:outlineLvl w:val="0"/>
        <w:rPr>
          <w:rFonts w:hint="eastAsia" w:ascii="仿宋" w:hAnsi="仿宋" w:eastAsia="仿宋"/>
          <w:b w:val="0"/>
          <w:color w:val="auto"/>
          <w:highlight w:val="none"/>
        </w:rPr>
      </w:pPr>
      <w:bookmarkStart w:id="75" w:name="_Toc29878"/>
      <w:r>
        <w:rPr>
          <w:rFonts w:hint="eastAsia" w:ascii="黑体" w:hAnsi="黑体" w:eastAsia="黑体"/>
          <w:color w:val="auto"/>
          <w:sz w:val="44"/>
          <w:szCs w:val="44"/>
          <w:highlight w:val="none"/>
        </w:rPr>
        <w:t>第</w:t>
      </w:r>
      <w:r>
        <w:rPr>
          <w:rStyle w:val="36"/>
          <w:rFonts w:hint="eastAsia" w:ascii="黑体" w:hAnsi="黑体" w:eastAsia="黑体"/>
          <w:b w:val="0"/>
          <w:color w:val="auto"/>
          <w:highlight w:val="none"/>
        </w:rPr>
        <w:t>五部分 附表</w:t>
      </w:r>
      <w:bookmarkEnd w:id="70"/>
      <w:bookmarkEnd w:id="74"/>
      <w:bookmarkEnd w:id="75"/>
      <w:bookmarkStart w:id="76" w:name="_Toc15396619"/>
    </w:p>
    <w:p>
      <w:pPr>
        <w:pStyle w:val="3"/>
        <w:rPr>
          <w:rFonts w:ascii="仿宋" w:hAnsi="仿宋" w:eastAsia="仿宋"/>
          <w:color w:val="auto"/>
          <w:highlight w:val="none"/>
        </w:rPr>
      </w:pPr>
      <w:bookmarkStart w:id="77" w:name="_Toc9966"/>
      <w:r>
        <w:rPr>
          <w:rFonts w:hint="eastAsia" w:ascii="仿宋" w:hAnsi="仿宋" w:eastAsia="仿宋"/>
          <w:b w:val="0"/>
          <w:color w:val="auto"/>
          <w:highlight w:val="none"/>
        </w:rPr>
        <w:t>一、收</w:t>
      </w:r>
      <w:r>
        <w:rPr>
          <w:rStyle w:val="37"/>
          <w:rFonts w:hint="eastAsia" w:ascii="仿宋" w:hAnsi="仿宋" w:eastAsia="仿宋"/>
          <w:b w:val="0"/>
          <w:bCs w:val="0"/>
          <w:color w:val="auto"/>
          <w:highlight w:val="none"/>
        </w:rPr>
        <w:t>入支出决算总表</w:t>
      </w:r>
      <w:bookmarkEnd w:id="76"/>
      <w:bookmarkEnd w:id="77"/>
    </w:p>
    <w:p>
      <w:pPr>
        <w:pStyle w:val="3"/>
        <w:rPr>
          <w:rFonts w:ascii="仿宋" w:hAnsi="仿宋" w:eastAsia="仿宋"/>
          <w:color w:val="auto"/>
          <w:highlight w:val="none"/>
        </w:rPr>
      </w:pPr>
      <w:bookmarkStart w:id="78" w:name="_Toc15396620"/>
      <w:bookmarkStart w:id="79" w:name="_Toc8480"/>
      <w:r>
        <w:rPr>
          <w:rFonts w:hint="eastAsia" w:ascii="仿宋" w:hAnsi="仿宋" w:eastAsia="仿宋"/>
          <w:b w:val="0"/>
          <w:color w:val="auto"/>
          <w:highlight w:val="none"/>
        </w:rPr>
        <w:t>二、收</w:t>
      </w:r>
      <w:r>
        <w:rPr>
          <w:rStyle w:val="37"/>
          <w:rFonts w:hint="eastAsia" w:ascii="仿宋" w:hAnsi="仿宋" w:eastAsia="仿宋"/>
          <w:b w:val="0"/>
          <w:bCs w:val="0"/>
          <w:color w:val="auto"/>
          <w:highlight w:val="none"/>
        </w:rPr>
        <w:t>入决算表</w:t>
      </w:r>
      <w:bookmarkEnd w:id="78"/>
      <w:bookmarkEnd w:id="79"/>
    </w:p>
    <w:p>
      <w:pPr>
        <w:pStyle w:val="3"/>
        <w:rPr>
          <w:rFonts w:ascii="仿宋" w:hAnsi="仿宋" w:eastAsia="仿宋"/>
          <w:color w:val="auto"/>
          <w:highlight w:val="none"/>
        </w:rPr>
      </w:pPr>
      <w:bookmarkStart w:id="80" w:name="_Toc4584"/>
      <w:bookmarkStart w:id="81" w:name="_Toc15396621"/>
      <w:r>
        <w:rPr>
          <w:rStyle w:val="37"/>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37"/>
          <w:rFonts w:hint="eastAsia" w:ascii="仿宋" w:hAnsi="仿宋" w:eastAsia="仿宋"/>
          <w:b w:val="0"/>
          <w:bCs w:val="0"/>
          <w:color w:val="auto"/>
          <w:highlight w:val="none"/>
        </w:rPr>
        <w:t>出决算表</w:t>
      </w:r>
      <w:bookmarkEnd w:id="80"/>
      <w:bookmarkEnd w:id="81"/>
    </w:p>
    <w:p>
      <w:pPr>
        <w:pStyle w:val="3"/>
        <w:rPr>
          <w:rFonts w:ascii="仿宋" w:hAnsi="仿宋" w:eastAsia="仿宋"/>
          <w:b w:val="0"/>
          <w:color w:val="auto"/>
          <w:highlight w:val="none"/>
        </w:rPr>
      </w:pPr>
      <w:bookmarkStart w:id="82" w:name="_Toc15396622"/>
      <w:bookmarkStart w:id="83" w:name="_Toc11178"/>
      <w:r>
        <w:rPr>
          <w:rStyle w:val="37"/>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37"/>
          <w:rFonts w:hint="eastAsia" w:ascii="仿宋" w:hAnsi="仿宋" w:eastAsia="仿宋"/>
          <w:b w:val="0"/>
          <w:bCs w:val="0"/>
          <w:color w:val="auto"/>
          <w:highlight w:val="none"/>
        </w:rPr>
        <w:t>政拨款收入支出决算总表</w:t>
      </w:r>
      <w:bookmarkEnd w:id="82"/>
      <w:bookmarkEnd w:id="83"/>
    </w:p>
    <w:p>
      <w:pPr>
        <w:pStyle w:val="3"/>
        <w:rPr>
          <w:rStyle w:val="37"/>
          <w:rFonts w:ascii="仿宋" w:hAnsi="仿宋" w:eastAsia="仿宋"/>
          <w:b w:val="0"/>
          <w:bCs w:val="0"/>
          <w:color w:val="auto"/>
          <w:highlight w:val="none"/>
        </w:rPr>
      </w:pPr>
      <w:bookmarkStart w:id="84" w:name="_Toc15237"/>
      <w:bookmarkStart w:id="85" w:name="_Toc15396623"/>
      <w:r>
        <w:rPr>
          <w:rStyle w:val="37"/>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37"/>
          <w:rFonts w:hint="eastAsia" w:ascii="仿宋" w:hAnsi="仿宋" w:eastAsia="仿宋"/>
          <w:b w:val="0"/>
          <w:bCs w:val="0"/>
          <w:color w:val="auto"/>
          <w:highlight w:val="none"/>
        </w:rPr>
        <w:t>政拨款支出决算明细表</w:t>
      </w:r>
      <w:bookmarkEnd w:id="84"/>
      <w:bookmarkEnd w:id="85"/>
      <w:bookmarkStart w:id="86" w:name="_Toc15396624"/>
    </w:p>
    <w:p>
      <w:pPr>
        <w:pStyle w:val="3"/>
        <w:rPr>
          <w:rFonts w:ascii="仿宋" w:hAnsi="仿宋" w:eastAsia="仿宋"/>
          <w:color w:val="auto"/>
          <w:highlight w:val="none"/>
        </w:rPr>
      </w:pPr>
      <w:bookmarkStart w:id="87" w:name="_Toc20539"/>
      <w:r>
        <w:rPr>
          <w:rStyle w:val="37"/>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37"/>
          <w:rFonts w:hint="eastAsia" w:ascii="仿宋" w:hAnsi="仿宋" w:eastAsia="仿宋"/>
          <w:b w:val="0"/>
          <w:bCs w:val="0"/>
          <w:color w:val="auto"/>
          <w:highlight w:val="none"/>
        </w:rPr>
        <w:t>般公共预算财政拨款支出决算表</w:t>
      </w:r>
      <w:bookmarkEnd w:id="86"/>
      <w:bookmarkEnd w:id="87"/>
    </w:p>
    <w:p>
      <w:pPr>
        <w:pStyle w:val="3"/>
        <w:rPr>
          <w:rFonts w:ascii="仿宋" w:hAnsi="仿宋" w:eastAsia="仿宋"/>
          <w:color w:val="auto"/>
          <w:highlight w:val="none"/>
        </w:rPr>
      </w:pPr>
      <w:bookmarkStart w:id="88" w:name="_Toc29239"/>
      <w:bookmarkStart w:id="89" w:name="_Toc15396625"/>
      <w:r>
        <w:rPr>
          <w:rStyle w:val="37"/>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37"/>
          <w:rFonts w:hint="eastAsia" w:ascii="仿宋" w:hAnsi="仿宋" w:eastAsia="仿宋"/>
          <w:b w:val="0"/>
          <w:bCs w:val="0"/>
          <w:color w:val="auto"/>
          <w:highlight w:val="none"/>
        </w:rPr>
        <w:t>般公共预算财政拨款支出决算明细表</w:t>
      </w:r>
      <w:bookmarkEnd w:id="88"/>
      <w:bookmarkEnd w:id="89"/>
    </w:p>
    <w:p>
      <w:pPr>
        <w:pStyle w:val="3"/>
        <w:rPr>
          <w:rFonts w:ascii="仿宋" w:hAnsi="仿宋" w:eastAsia="仿宋"/>
          <w:color w:val="auto"/>
          <w:highlight w:val="none"/>
        </w:rPr>
      </w:pPr>
      <w:bookmarkStart w:id="90" w:name="_Toc9500"/>
      <w:bookmarkStart w:id="91" w:name="_Toc15396626"/>
      <w:r>
        <w:rPr>
          <w:rStyle w:val="37"/>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37"/>
          <w:rFonts w:hint="eastAsia" w:ascii="仿宋" w:hAnsi="仿宋" w:eastAsia="仿宋"/>
          <w:b w:val="0"/>
          <w:bCs w:val="0"/>
          <w:color w:val="auto"/>
          <w:highlight w:val="none"/>
        </w:rPr>
        <w:t>般公共预算财政拨款基本支出决算表</w:t>
      </w:r>
      <w:bookmarkEnd w:id="90"/>
      <w:bookmarkEnd w:id="91"/>
    </w:p>
    <w:p>
      <w:pPr>
        <w:pStyle w:val="3"/>
        <w:rPr>
          <w:rFonts w:ascii="仿宋" w:hAnsi="仿宋" w:eastAsia="仿宋"/>
          <w:color w:val="auto"/>
          <w:highlight w:val="none"/>
        </w:rPr>
      </w:pPr>
      <w:bookmarkStart w:id="92" w:name="_Toc22093"/>
      <w:bookmarkStart w:id="93" w:name="_Toc15396627"/>
      <w:r>
        <w:rPr>
          <w:rStyle w:val="37"/>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37"/>
          <w:rFonts w:hint="eastAsia" w:ascii="仿宋" w:hAnsi="仿宋" w:eastAsia="仿宋"/>
          <w:b w:val="0"/>
          <w:bCs w:val="0"/>
          <w:color w:val="auto"/>
          <w:highlight w:val="none"/>
        </w:rPr>
        <w:t>般公共预算财政拨款项目支出决算表</w:t>
      </w:r>
      <w:bookmarkEnd w:id="92"/>
      <w:bookmarkEnd w:id="93"/>
    </w:p>
    <w:p>
      <w:pPr>
        <w:pStyle w:val="3"/>
        <w:rPr>
          <w:rFonts w:ascii="仿宋" w:hAnsi="仿宋" w:eastAsia="仿宋"/>
          <w:color w:val="auto"/>
          <w:highlight w:val="none"/>
        </w:rPr>
      </w:pPr>
      <w:bookmarkStart w:id="94" w:name="_Toc26568"/>
      <w:bookmarkStart w:id="95" w:name="_Toc15396628"/>
      <w:r>
        <w:rPr>
          <w:rStyle w:val="37"/>
          <w:rFonts w:hint="eastAsia" w:ascii="仿宋" w:hAnsi="仿宋" w:eastAsia="仿宋"/>
          <w:b w:val="0"/>
          <w:bCs w:val="0"/>
          <w:color w:val="auto"/>
          <w:highlight w:val="none"/>
        </w:rPr>
        <w:t>十、</w:t>
      </w:r>
      <w:r>
        <w:rPr>
          <w:rFonts w:hint="eastAsia" w:ascii="仿宋" w:hAnsi="仿宋" w:eastAsia="仿宋"/>
          <w:b w:val="0"/>
          <w:color w:val="auto"/>
          <w:highlight w:val="none"/>
        </w:rPr>
        <w:t>一</w:t>
      </w:r>
      <w:r>
        <w:rPr>
          <w:rStyle w:val="37"/>
          <w:rFonts w:hint="eastAsia" w:ascii="仿宋" w:hAnsi="仿宋" w:eastAsia="仿宋"/>
          <w:b w:val="0"/>
          <w:bCs w:val="0"/>
          <w:color w:val="auto"/>
          <w:highlight w:val="none"/>
        </w:rPr>
        <w:t>般公共预算财政拨款“三公”经费支出决算表</w:t>
      </w:r>
      <w:bookmarkEnd w:id="94"/>
      <w:bookmarkEnd w:id="95"/>
    </w:p>
    <w:p>
      <w:pPr>
        <w:pStyle w:val="3"/>
        <w:rPr>
          <w:rFonts w:ascii="仿宋" w:hAnsi="仿宋" w:eastAsia="仿宋"/>
          <w:color w:val="auto"/>
          <w:highlight w:val="none"/>
        </w:rPr>
      </w:pPr>
      <w:bookmarkStart w:id="96" w:name="_Toc15396629"/>
      <w:bookmarkStart w:id="97" w:name="_Toc31777"/>
      <w:r>
        <w:rPr>
          <w:rStyle w:val="37"/>
          <w:rFonts w:hint="eastAsia" w:ascii="仿宋" w:hAnsi="仿宋" w:eastAsia="仿宋"/>
          <w:b w:val="0"/>
          <w:bCs w:val="0"/>
          <w:color w:val="auto"/>
          <w:highlight w:val="none"/>
        </w:rPr>
        <w:t>十一、</w:t>
      </w:r>
      <w:r>
        <w:rPr>
          <w:rFonts w:hint="eastAsia" w:ascii="仿宋" w:hAnsi="仿宋" w:eastAsia="仿宋"/>
          <w:b w:val="0"/>
          <w:color w:val="auto"/>
          <w:highlight w:val="none"/>
        </w:rPr>
        <w:t>政</w:t>
      </w:r>
      <w:r>
        <w:rPr>
          <w:rStyle w:val="37"/>
          <w:rFonts w:hint="eastAsia" w:ascii="仿宋" w:hAnsi="仿宋" w:eastAsia="仿宋"/>
          <w:b w:val="0"/>
          <w:bCs w:val="0"/>
          <w:color w:val="auto"/>
          <w:highlight w:val="none"/>
        </w:rPr>
        <w:t>府性基金预算财政拨款收入支出决算表</w:t>
      </w:r>
      <w:bookmarkEnd w:id="96"/>
      <w:bookmarkEnd w:id="97"/>
    </w:p>
    <w:p>
      <w:pPr>
        <w:pStyle w:val="3"/>
        <w:rPr>
          <w:rFonts w:ascii="仿宋" w:hAnsi="仿宋" w:eastAsia="仿宋"/>
          <w:color w:val="auto"/>
          <w:highlight w:val="none"/>
        </w:rPr>
      </w:pPr>
      <w:bookmarkStart w:id="98" w:name="_Toc31979"/>
      <w:bookmarkStart w:id="99" w:name="_Toc15396630"/>
      <w:r>
        <w:rPr>
          <w:rStyle w:val="37"/>
          <w:rFonts w:hint="eastAsia" w:ascii="仿宋" w:hAnsi="仿宋" w:eastAsia="仿宋"/>
          <w:b w:val="0"/>
          <w:bCs w:val="0"/>
          <w:color w:val="auto"/>
          <w:highlight w:val="none"/>
        </w:rPr>
        <w:t>十二、</w:t>
      </w:r>
      <w:r>
        <w:rPr>
          <w:rFonts w:hint="eastAsia" w:ascii="仿宋" w:hAnsi="仿宋" w:eastAsia="仿宋"/>
          <w:b w:val="0"/>
          <w:color w:val="auto"/>
          <w:highlight w:val="none"/>
        </w:rPr>
        <w:t>政</w:t>
      </w:r>
      <w:r>
        <w:rPr>
          <w:rStyle w:val="37"/>
          <w:rFonts w:hint="eastAsia" w:ascii="仿宋" w:hAnsi="仿宋" w:eastAsia="仿宋"/>
          <w:b w:val="0"/>
          <w:bCs w:val="0"/>
          <w:color w:val="auto"/>
          <w:highlight w:val="none"/>
        </w:rPr>
        <w:t>府性基金预算财政拨款“三公”经费支出决算表</w:t>
      </w:r>
      <w:bookmarkEnd w:id="98"/>
      <w:bookmarkEnd w:id="99"/>
    </w:p>
    <w:p>
      <w:pPr>
        <w:pStyle w:val="3"/>
        <w:rPr>
          <w:rStyle w:val="37"/>
          <w:rFonts w:hint="eastAsia" w:ascii="仿宋" w:hAnsi="仿宋" w:eastAsia="仿宋"/>
          <w:b w:val="0"/>
          <w:bCs w:val="0"/>
          <w:color w:val="auto"/>
          <w:highlight w:val="none"/>
        </w:rPr>
      </w:pPr>
      <w:bookmarkStart w:id="100" w:name="_Toc14458"/>
      <w:bookmarkStart w:id="101" w:name="_Toc15396631"/>
      <w:r>
        <w:rPr>
          <w:rStyle w:val="37"/>
          <w:rFonts w:hint="eastAsia" w:ascii="仿宋" w:hAnsi="仿宋" w:eastAsia="仿宋"/>
          <w:b w:val="0"/>
          <w:bCs w:val="0"/>
          <w:color w:val="auto"/>
          <w:highlight w:val="none"/>
        </w:rPr>
        <w:t>十三、</w:t>
      </w:r>
      <w:r>
        <w:rPr>
          <w:rFonts w:hint="eastAsia" w:ascii="仿宋" w:hAnsi="仿宋" w:eastAsia="仿宋"/>
          <w:b w:val="0"/>
          <w:color w:val="auto"/>
          <w:highlight w:val="none"/>
        </w:rPr>
        <w:t>国</w:t>
      </w:r>
      <w:r>
        <w:rPr>
          <w:rStyle w:val="37"/>
          <w:rFonts w:hint="eastAsia" w:ascii="仿宋" w:hAnsi="仿宋" w:eastAsia="仿宋"/>
          <w:b w:val="0"/>
          <w:bCs w:val="0"/>
          <w:color w:val="auto"/>
          <w:highlight w:val="none"/>
        </w:rPr>
        <w:t>有资本经营预算</w:t>
      </w:r>
      <w:r>
        <w:rPr>
          <w:rStyle w:val="37"/>
          <w:rFonts w:hint="eastAsia" w:ascii="仿宋" w:hAnsi="仿宋" w:eastAsia="仿宋"/>
          <w:b w:val="0"/>
          <w:bCs w:val="0"/>
          <w:color w:val="auto"/>
          <w:highlight w:val="none"/>
          <w:lang w:eastAsia="zh-CN"/>
        </w:rPr>
        <w:t>财政拨款收入</w:t>
      </w:r>
      <w:r>
        <w:rPr>
          <w:rStyle w:val="37"/>
          <w:rFonts w:hint="eastAsia" w:ascii="仿宋" w:hAnsi="仿宋" w:eastAsia="仿宋"/>
          <w:b w:val="0"/>
          <w:bCs w:val="0"/>
          <w:color w:val="auto"/>
          <w:highlight w:val="none"/>
        </w:rPr>
        <w:t>支出决算表</w:t>
      </w:r>
      <w:bookmarkEnd w:id="100"/>
      <w:bookmarkEnd w:id="101"/>
    </w:p>
    <w:p>
      <w:pPr>
        <w:rPr>
          <w:rFonts w:hint="eastAsia" w:eastAsia="仿宋"/>
          <w:color w:val="auto"/>
          <w:highlight w:val="none"/>
          <w:lang w:eastAsia="zh-CN"/>
        </w:rPr>
      </w:pPr>
      <w:bookmarkStart w:id="102" w:name="_Toc9661"/>
      <w:r>
        <w:rPr>
          <w:rStyle w:val="37"/>
          <w:rFonts w:hint="eastAsia" w:ascii="仿宋" w:hAnsi="仿宋" w:eastAsia="仿宋"/>
          <w:b w:val="0"/>
          <w:bCs w:val="0"/>
          <w:color w:val="auto"/>
          <w:highlight w:val="none"/>
          <w:lang w:eastAsia="zh-CN"/>
        </w:rPr>
        <w:t>十四、国有资本经营预算财政拨款支出决算表</w:t>
      </w:r>
      <w:bookmarkEnd w:id="102"/>
    </w:p>
    <w:sectPr>
      <w:footerReference r:id="rId9" w:type="firs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6A87C92-8371-4654-9E86-4186FF3E5B5D}"/>
  </w:font>
  <w:font w:name="黑体">
    <w:panose1 w:val="02010609060101010101"/>
    <w:charset w:val="86"/>
    <w:family w:val="auto"/>
    <w:pitch w:val="default"/>
    <w:sig w:usb0="800002BF" w:usb1="38CF7CFA" w:usb2="00000016" w:usb3="00000000" w:csb0="00040001" w:csb1="00000000"/>
    <w:embedRegular r:id="rId2" w:fontKey="{B073EE9D-5B47-4BDF-9C36-A3C61DAE441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3" w:fontKey="{E3746E71-07DB-4AFE-927E-333B0811DDBA}"/>
  </w:font>
  <w:font w:name="仿宋_GB2312">
    <w:panose1 w:val="02010609030101010101"/>
    <w:charset w:val="86"/>
    <w:family w:val="modern"/>
    <w:pitch w:val="default"/>
    <w:sig w:usb0="00000001" w:usb1="080E0000" w:usb2="00000000" w:usb3="00000000" w:csb0="00040000" w:csb1="00000000"/>
    <w:embedRegular r:id="rId4" w:fontKey="{D56E4EB2-8BD7-489A-A7BB-E9CB056D1091}"/>
  </w:font>
  <w:font w:name="仿宋">
    <w:panose1 w:val="02010609060101010101"/>
    <w:charset w:val="86"/>
    <w:family w:val="auto"/>
    <w:pitch w:val="default"/>
    <w:sig w:usb0="800002BF" w:usb1="38CF7CFA" w:usb2="00000016" w:usb3="00000000" w:csb0="00040001" w:csb1="00000000"/>
    <w:embedRegular r:id="rId5" w:fontKey="{05B6636C-145E-40C1-BA98-AC875D46AFD6}"/>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6" w:fontKey="{D6BEC6BC-ABF2-4A39-9594-FA2A03F49DC0}"/>
  </w:font>
  <w:font w:name="楷体">
    <w:panose1 w:val="02010609060101010101"/>
    <w:charset w:val="86"/>
    <w:family w:val="auto"/>
    <w:pitch w:val="default"/>
    <w:sig w:usb0="800002BF" w:usb1="38CF7CFA" w:usb2="00000016" w:usb3="00000000" w:csb0="00040001" w:csb1="00000000"/>
    <w:embedRegular r:id="rId7" w:fontKey="{6B9A1E7B-6F1B-441E-B5EF-BDB4233A862F}"/>
  </w:font>
  <w:font w:name="Helvetica">
    <w:altName w:val="Arial"/>
    <w:panose1 w:val="020B0604020202020204"/>
    <w:charset w:val="00"/>
    <w:family w:val="swiss"/>
    <w:pitch w:val="default"/>
    <w:sig w:usb0="00000000" w:usb1="00000000" w:usb2="00000000" w:usb3="00000000" w:csb0="00000001" w:csb1="00000000"/>
    <w:embedRegular r:id="rId8" w:fontKey="{433CB24B-38E9-4FC9-86FC-512D31C2AA17}"/>
  </w:font>
  <w:font w:name="ˎ̥">
    <w:altName w:val="Times New Roman"/>
    <w:panose1 w:val="00000000000000000000"/>
    <w:charset w:val="00"/>
    <w:family w:val="roman"/>
    <w:pitch w:val="default"/>
    <w:sig w:usb0="00000000" w:usb1="00000000" w:usb2="00000000" w:usb3="00000000" w:csb0="00000000" w:csb1="00000000"/>
    <w:embedRegular r:id="rId9" w:fontKey="{DCEFA1C1-C726-4455-9187-6714C133CF25}"/>
  </w:font>
  <w:font w:name="仿宋GB2312">
    <w:altName w:val="仿宋"/>
    <w:panose1 w:val="00000000000000000000"/>
    <w:charset w:val="00"/>
    <w:family w:val="auto"/>
    <w:pitch w:val="default"/>
    <w:sig w:usb0="00000000" w:usb1="00000000" w:usb2="00000000" w:usb3="00000000" w:csb0="00000000" w:csb1="00000000"/>
    <w:embedRegular r:id="rId10" w:fontKey="{862FE4E5-E151-4AE8-AAB6-A2E2D19295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2"/>
                                <w:jc w:val="center"/>
                              </w:pPr>
                              <w:r>
                                <w:fldChar w:fldCharType="begin"/>
                              </w:r>
                              <w:r>
                                <w:instrText xml:space="preserve">PAGE   \* MERGEFORMAT</w:instrText>
                              </w:r>
                              <w:r>
                                <w:fldChar w:fldCharType="separate"/>
                              </w:r>
                              <w:r>
                                <w:rPr>
                                  <w:lang w:val="zh-CN"/>
                                </w:rPr>
                                <w:t>8</w:t>
                              </w:r>
                              <w:r>
                                <w:fldChar w:fldCharType="end"/>
                              </w:r>
                            </w:p>
                          </w:sdtContent>
                        </w:sdt>
                        <w:p>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sdt>
                    <w:sdtPr>
                      <w:id w:val="-1994781956"/>
                    </w:sdtPr>
                    <w:sdtContent>
                      <w:p>
                        <w:pPr>
                          <w:pStyle w:val="12"/>
                          <w:jc w:val="center"/>
                        </w:pPr>
                        <w:r>
                          <w:fldChar w:fldCharType="begin"/>
                        </w:r>
                        <w:r>
                          <w:instrText xml:space="preserve">PAGE   \* MERGEFORMAT</w:instrText>
                        </w:r>
                        <w:r>
                          <w:fldChar w:fldCharType="separate"/>
                        </w:r>
                        <w:r>
                          <w:rPr>
                            <w:lang w:val="zh-CN"/>
                          </w:rPr>
                          <w:t>8</w:t>
                        </w:r>
                        <w:r>
                          <w:fldChar w:fldCharType="end"/>
                        </w:r>
                      </w:p>
                    </w:sdtContent>
                  </w:sdt>
                  <w:p>
                    <w:pPr>
                      <w:pStyle w:val="6"/>
                    </w:pPr>
                  </w:p>
                </w:txbxContent>
              </v:textbox>
            </v:shape>
          </w:pict>
        </mc:Fallback>
      </mc:AlternateConten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2"/>
                                <w:jc w:val="center"/>
                              </w:pPr>
                              <w:r>
                                <w:fldChar w:fldCharType="begin"/>
                              </w:r>
                              <w:r>
                                <w:instrText xml:space="preserve">PAGE   \* MERGEFORMAT</w:instrText>
                              </w:r>
                              <w:r>
                                <w:fldChar w:fldCharType="separate"/>
                              </w:r>
                              <w:r>
                                <w:rPr>
                                  <w:lang w:val="zh-CN"/>
                                </w:rPr>
                                <w:t>8</w:t>
                              </w:r>
                              <w:r>
                                <w:fldChar w:fldCharType="end"/>
                              </w:r>
                            </w:p>
                          </w:sdtContent>
                        </w:sdt>
                        <w:p>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sdt>
                    <w:sdtPr>
                      <w:id w:val="-1994781956"/>
                    </w:sdtPr>
                    <w:sdtContent>
                      <w:p>
                        <w:pPr>
                          <w:pStyle w:val="12"/>
                          <w:jc w:val="center"/>
                        </w:pPr>
                        <w:r>
                          <w:fldChar w:fldCharType="begin"/>
                        </w:r>
                        <w:r>
                          <w:instrText xml:space="preserve">PAGE   \* MERGEFORMAT</w:instrText>
                        </w:r>
                        <w:r>
                          <w:fldChar w:fldCharType="separate"/>
                        </w:r>
                        <w:r>
                          <w:rPr>
                            <w:lang w:val="zh-CN"/>
                          </w:rPr>
                          <w:t>8</w:t>
                        </w:r>
                        <w:r>
                          <w:fldChar w:fldCharType="end"/>
                        </w:r>
                      </w:p>
                    </w:sdtContent>
                  </w:sdt>
                  <w:p>
                    <w:pPr>
                      <w:pStyle w:val="6"/>
                    </w:pPr>
                  </w:p>
                </w:txbxContent>
              </v:textbox>
            </v:shape>
          </w:pict>
        </mc:Fallback>
      </mc:AlternateContent>
    </w:r>
  </w:p>
  <w:p>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B72002"/>
    <w:multiLevelType w:val="singleLevel"/>
    <w:tmpl w:val="B0B72002"/>
    <w:lvl w:ilvl="0" w:tentative="0">
      <w:start w:val="3"/>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2C9BFCDD"/>
    <w:multiLevelType w:val="singleLevel"/>
    <w:tmpl w:val="2C9BFCDD"/>
    <w:lvl w:ilvl="0" w:tentative="0">
      <w:start w:val="1"/>
      <w:numFmt w:val="chineseCounting"/>
      <w:suff w:val="nothing"/>
      <w:lvlText w:val="%1、"/>
      <w:lvlJc w:val="left"/>
      <w:rPr>
        <w:rFonts w:hint="eastAsia"/>
      </w:rPr>
    </w:lvl>
  </w:abstractNum>
  <w:abstractNum w:abstractNumId="5">
    <w:nsid w:val="4DE2FA0B"/>
    <w:multiLevelType w:val="singleLevel"/>
    <w:tmpl w:val="4DE2FA0B"/>
    <w:lvl w:ilvl="0" w:tentative="0">
      <w:start w:val="1"/>
      <w:numFmt w:val="decimal"/>
      <w:lvlText w:val="%1."/>
      <w:lvlJc w:val="left"/>
      <w:pPr>
        <w:tabs>
          <w:tab w:val="left" w:pos="312"/>
        </w:tabs>
      </w:pPr>
    </w:lvl>
  </w:abstractNum>
  <w:abstractNum w:abstractNumId="6">
    <w:nsid w:val="5B63281F"/>
    <w:multiLevelType w:val="multilevel"/>
    <w:tmpl w:val="5B63281F"/>
    <w:lvl w:ilvl="0" w:tentative="0">
      <w:start w:val="1"/>
      <w:numFmt w:val="decimal"/>
      <w:pStyle w:val="45"/>
      <w:suff w:val="nothing"/>
      <w:lvlText w:val="%1."/>
      <w:lvlJc w:val="left"/>
      <w:pPr>
        <w:ind w:left="0" w:firstLine="635"/>
      </w:pPr>
      <w:rPr>
        <w:rFonts w:hint="eastAsia"/>
      </w:rPr>
    </w:lvl>
    <w:lvl w:ilvl="1" w:tentative="0">
      <w:start w:val="1"/>
      <w:numFmt w:val="lowerLetter"/>
      <w:lvlText w:val="%2)"/>
      <w:lvlJc w:val="left"/>
      <w:pPr>
        <w:ind w:left="1475" w:hanging="420"/>
      </w:pPr>
    </w:lvl>
    <w:lvl w:ilvl="2" w:tentative="0">
      <w:start w:val="1"/>
      <w:numFmt w:val="lowerRoman"/>
      <w:lvlText w:val="%3."/>
      <w:lvlJc w:val="right"/>
      <w:pPr>
        <w:ind w:left="1895" w:hanging="420"/>
      </w:pPr>
    </w:lvl>
    <w:lvl w:ilvl="3" w:tentative="0">
      <w:start w:val="1"/>
      <w:numFmt w:val="decimal"/>
      <w:lvlText w:val="%4."/>
      <w:lvlJc w:val="left"/>
      <w:pPr>
        <w:ind w:left="2315" w:hanging="420"/>
      </w:pPr>
    </w:lvl>
    <w:lvl w:ilvl="4" w:tentative="0">
      <w:start w:val="1"/>
      <w:numFmt w:val="lowerLetter"/>
      <w:lvlText w:val="%5)"/>
      <w:lvlJc w:val="left"/>
      <w:pPr>
        <w:ind w:left="2735" w:hanging="420"/>
      </w:pPr>
    </w:lvl>
    <w:lvl w:ilvl="5" w:tentative="0">
      <w:start w:val="1"/>
      <w:numFmt w:val="lowerRoman"/>
      <w:lvlText w:val="%6."/>
      <w:lvlJc w:val="right"/>
      <w:pPr>
        <w:ind w:left="3155" w:hanging="420"/>
      </w:pPr>
    </w:lvl>
    <w:lvl w:ilvl="6" w:tentative="0">
      <w:start w:val="1"/>
      <w:numFmt w:val="decimal"/>
      <w:lvlText w:val="%7."/>
      <w:lvlJc w:val="left"/>
      <w:pPr>
        <w:ind w:left="3575" w:hanging="420"/>
      </w:pPr>
    </w:lvl>
    <w:lvl w:ilvl="7" w:tentative="0">
      <w:start w:val="1"/>
      <w:numFmt w:val="lowerLetter"/>
      <w:lvlText w:val="%8)"/>
      <w:lvlJc w:val="left"/>
      <w:pPr>
        <w:ind w:left="3995" w:hanging="420"/>
      </w:pPr>
    </w:lvl>
    <w:lvl w:ilvl="8" w:tentative="0">
      <w:start w:val="1"/>
      <w:numFmt w:val="lowerRoman"/>
      <w:lvlText w:val="%9."/>
      <w:lvlJc w:val="right"/>
      <w:pPr>
        <w:ind w:left="4415" w:hanging="420"/>
      </w:pPr>
    </w:lvl>
  </w:abstractNum>
  <w:abstractNum w:abstractNumId="7">
    <w:nsid w:val="6F035666"/>
    <w:multiLevelType w:val="singleLevel"/>
    <w:tmpl w:val="6F035666"/>
    <w:lvl w:ilvl="0" w:tentative="0">
      <w:start w:val="1"/>
      <w:numFmt w:val="decimal"/>
      <w:lvlText w:val="%1."/>
      <w:lvlJc w:val="left"/>
      <w:pPr>
        <w:tabs>
          <w:tab w:val="left" w:pos="312"/>
        </w:tabs>
        <w:ind w:left="-13"/>
      </w:pPr>
    </w:lvl>
  </w:abstractNum>
  <w:num w:numId="1">
    <w:abstractNumId w:val="6"/>
  </w:num>
  <w:num w:numId="2">
    <w:abstractNumId w:val="4"/>
  </w:num>
  <w:num w:numId="3">
    <w:abstractNumId w:val="3"/>
  </w:num>
  <w:num w:numId="4">
    <w:abstractNumId w:val="7"/>
  </w:num>
  <w:num w:numId="5">
    <w:abstractNumId w:val="0"/>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5OTY3MTA0YmVjOTIwZTU1NGM1OGRlYTM1MDAxMT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3366"/>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32078"/>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29E"/>
    <w:rsid w:val="00A237D8"/>
    <w:rsid w:val="00A268C4"/>
    <w:rsid w:val="00A307CD"/>
    <w:rsid w:val="00A331C8"/>
    <w:rsid w:val="00A40A00"/>
    <w:rsid w:val="00A4142F"/>
    <w:rsid w:val="00A422EB"/>
    <w:rsid w:val="00A45BB7"/>
    <w:rsid w:val="00A56D7D"/>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4DD6"/>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41F92"/>
    <w:rsid w:val="0116312F"/>
    <w:rsid w:val="01963029"/>
    <w:rsid w:val="02C10E79"/>
    <w:rsid w:val="02C132B2"/>
    <w:rsid w:val="02EA7E55"/>
    <w:rsid w:val="033B1FDD"/>
    <w:rsid w:val="0379691B"/>
    <w:rsid w:val="0388769C"/>
    <w:rsid w:val="03DD612A"/>
    <w:rsid w:val="03F37758"/>
    <w:rsid w:val="04AA7785"/>
    <w:rsid w:val="04E24654"/>
    <w:rsid w:val="04F73202"/>
    <w:rsid w:val="05644D83"/>
    <w:rsid w:val="057A40CC"/>
    <w:rsid w:val="05CA131B"/>
    <w:rsid w:val="063A5C93"/>
    <w:rsid w:val="063C764A"/>
    <w:rsid w:val="064A5629"/>
    <w:rsid w:val="06EF5D92"/>
    <w:rsid w:val="07EB7ECE"/>
    <w:rsid w:val="08BF5F33"/>
    <w:rsid w:val="09405AF0"/>
    <w:rsid w:val="09BC4137"/>
    <w:rsid w:val="09F00E3B"/>
    <w:rsid w:val="09F2092F"/>
    <w:rsid w:val="0A1C3478"/>
    <w:rsid w:val="0A2032A3"/>
    <w:rsid w:val="0A8303C0"/>
    <w:rsid w:val="0AEF2751"/>
    <w:rsid w:val="0B64718D"/>
    <w:rsid w:val="0B8A37D8"/>
    <w:rsid w:val="0BB3106B"/>
    <w:rsid w:val="0BE133C4"/>
    <w:rsid w:val="0C050C47"/>
    <w:rsid w:val="0CC36E72"/>
    <w:rsid w:val="0D0F753F"/>
    <w:rsid w:val="0D5825D8"/>
    <w:rsid w:val="0D5D20E6"/>
    <w:rsid w:val="0DF558C6"/>
    <w:rsid w:val="0DFA6539"/>
    <w:rsid w:val="0E2741A7"/>
    <w:rsid w:val="0E4312DC"/>
    <w:rsid w:val="0E8F7511"/>
    <w:rsid w:val="0EC87D19"/>
    <w:rsid w:val="0F115C3A"/>
    <w:rsid w:val="0F2F1911"/>
    <w:rsid w:val="0F386966"/>
    <w:rsid w:val="101A6FC1"/>
    <w:rsid w:val="107D1E45"/>
    <w:rsid w:val="10BF33E1"/>
    <w:rsid w:val="10C055FF"/>
    <w:rsid w:val="10CD3161"/>
    <w:rsid w:val="111B4A43"/>
    <w:rsid w:val="11327891"/>
    <w:rsid w:val="118107EC"/>
    <w:rsid w:val="11835A46"/>
    <w:rsid w:val="118E0AC0"/>
    <w:rsid w:val="11DD6519"/>
    <w:rsid w:val="11E3021C"/>
    <w:rsid w:val="11ED3D46"/>
    <w:rsid w:val="121E1184"/>
    <w:rsid w:val="12A1239A"/>
    <w:rsid w:val="12E22D2C"/>
    <w:rsid w:val="133B475F"/>
    <w:rsid w:val="13573257"/>
    <w:rsid w:val="136C0500"/>
    <w:rsid w:val="14592F06"/>
    <w:rsid w:val="1461411A"/>
    <w:rsid w:val="151D2886"/>
    <w:rsid w:val="15973CBB"/>
    <w:rsid w:val="15D57614"/>
    <w:rsid w:val="15F92A9C"/>
    <w:rsid w:val="163A4802"/>
    <w:rsid w:val="16BB723D"/>
    <w:rsid w:val="171B4F84"/>
    <w:rsid w:val="172E6071"/>
    <w:rsid w:val="1785593F"/>
    <w:rsid w:val="17C1781C"/>
    <w:rsid w:val="18015F3F"/>
    <w:rsid w:val="182B70EF"/>
    <w:rsid w:val="18503A79"/>
    <w:rsid w:val="186407F9"/>
    <w:rsid w:val="18687970"/>
    <w:rsid w:val="18EA2E6C"/>
    <w:rsid w:val="190527C4"/>
    <w:rsid w:val="19131F69"/>
    <w:rsid w:val="1A070F90"/>
    <w:rsid w:val="1A1C2996"/>
    <w:rsid w:val="1AD83CA9"/>
    <w:rsid w:val="1AF220BF"/>
    <w:rsid w:val="1B07682A"/>
    <w:rsid w:val="1B216501"/>
    <w:rsid w:val="1B230658"/>
    <w:rsid w:val="1B271851"/>
    <w:rsid w:val="1B865049"/>
    <w:rsid w:val="1B910DB4"/>
    <w:rsid w:val="1BE8440E"/>
    <w:rsid w:val="1BF978A3"/>
    <w:rsid w:val="1CEC75AC"/>
    <w:rsid w:val="1CFA3641"/>
    <w:rsid w:val="1D083E1C"/>
    <w:rsid w:val="1D155CEE"/>
    <w:rsid w:val="1DE13B46"/>
    <w:rsid w:val="1DE303E5"/>
    <w:rsid w:val="1DE460C1"/>
    <w:rsid w:val="1DE55F0B"/>
    <w:rsid w:val="1DEF5CBE"/>
    <w:rsid w:val="1E1F1F35"/>
    <w:rsid w:val="1EA23279"/>
    <w:rsid w:val="1EC0634E"/>
    <w:rsid w:val="1ECF5F66"/>
    <w:rsid w:val="1F0C7DD5"/>
    <w:rsid w:val="1F5C3A06"/>
    <w:rsid w:val="1F6C7CD0"/>
    <w:rsid w:val="20507353"/>
    <w:rsid w:val="20C75D9C"/>
    <w:rsid w:val="20F57F95"/>
    <w:rsid w:val="21001F34"/>
    <w:rsid w:val="21110DC5"/>
    <w:rsid w:val="216E39D3"/>
    <w:rsid w:val="21812F54"/>
    <w:rsid w:val="22B14EDE"/>
    <w:rsid w:val="230E1876"/>
    <w:rsid w:val="23136BA8"/>
    <w:rsid w:val="23201DC1"/>
    <w:rsid w:val="236C3354"/>
    <w:rsid w:val="23FF584D"/>
    <w:rsid w:val="240371BF"/>
    <w:rsid w:val="240A1236"/>
    <w:rsid w:val="25911713"/>
    <w:rsid w:val="25AE3087"/>
    <w:rsid w:val="25C741E6"/>
    <w:rsid w:val="26266583"/>
    <w:rsid w:val="267E6EFD"/>
    <w:rsid w:val="27842671"/>
    <w:rsid w:val="27CB2786"/>
    <w:rsid w:val="27F21ACC"/>
    <w:rsid w:val="27FB1565"/>
    <w:rsid w:val="286A4887"/>
    <w:rsid w:val="28B529D3"/>
    <w:rsid w:val="28CD495B"/>
    <w:rsid w:val="293661E3"/>
    <w:rsid w:val="299A24C2"/>
    <w:rsid w:val="29B14490"/>
    <w:rsid w:val="29FD04D3"/>
    <w:rsid w:val="2A1619F8"/>
    <w:rsid w:val="2A793611"/>
    <w:rsid w:val="2AB5204F"/>
    <w:rsid w:val="2ABE7A3E"/>
    <w:rsid w:val="2AD413FE"/>
    <w:rsid w:val="2AE1376C"/>
    <w:rsid w:val="2AE8703B"/>
    <w:rsid w:val="2AF31337"/>
    <w:rsid w:val="2B326508"/>
    <w:rsid w:val="2B8C3E5A"/>
    <w:rsid w:val="2BC91C74"/>
    <w:rsid w:val="2BEE4F32"/>
    <w:rsid w:val="2C57016A"/>
    <w:rsid w:val="2C624BCB"/>
    <w:rsid w:val="2D083BC1"/>
    <w:rsid w:val="2DCA6ECC"/>
    <w:rsid w:val="2DDE0A7D"/>
    <w:rsid w:val="2DE51B7F"/>
    <w:rsid w:val="2E0D1189"/>
    <w:rsid w:val="2E33681F"/>
    <w:rsid w:val="2E4667E7"/>
    <w:rsid w:val="2E9C43C4"/>
    <w:rsid w:val="2EC85B96"/>
    <w:rsid w:val="2EFA178C"/>
    <w:rsid w:val="2FB46C73"/>
    <w:rsid w:val="2FE36023"/>
    <w:rsid w:val="2FEE7CF0"/>
    <w:rsid w:val="2FF95846"/>
    <w:rsid w:val="30142680"/>
    <w:rsid w:val="304565C5"/>
    <w:rsid w:val="30B46D73"/>
    <w:rsid w:val="30E8696A"/>
    <w:rsid w:val="30E97669"/>
    <w:rsid w:val="30ED53AB"/>
    <w:rsid w:val="31121BFA"/>
    <w:rsid w:val="316A7D7E"/>
    <w:rsid w:val="317E6DE0"/>
    <w:rsid w:val="319F7F4E"/>
    <w:rsid w:val="31AB0968"/>
    <w:rsid w:val="31CF4AB1"/>
    <w:rsid w:val="327E0568"/>
    <w:rsid w:val="32FE3BF1"/>
    <w:rsid w:val="3327408D"/>
    <w:rsid w:val="3337290D"/>
    <w:rsid w:val="333E2383"/>
    <w:rsid w:val="333E7DFC"/>
    <w:rsid w:val="338D39DC"/>
    <w:rsid w:val="33DE5B77"/>
    <w:rsid w:val="34453DFE"/>
    <w:rsid w:val="3454129D"/>
    <w:rsid w:val="34BF7626"/>
    <w:rsid w:val="352E2138"/>
    <w:rsid w:val="353D4B22"/>
    <w:rsid w:val="357061C7"/>
    <w:rsid w:val="35D07686"/>
    <w:rsid w:val="36414C4A"/>
    <w:rsid w:val="36892A2D"/>
    <w:rsid w:val="36902367"/>
    <w:rsid w:val="36A952BD"/>
    <w:rsid w:val="36B3674F"/>
    <w:rsid w:val="36C546D4"/>
    <w:rsid w:val="36C8200D"/>
    <w:rsid w:val="370D1D9C"/>
    <w:rsid w:val="37523789"/>
    <w:rsid w:val="375E2879"/>
    <w:rsid w:val="37645C9B"/>
    <w:rsid w:val="379548CF"/>
    <w:rsid w:val="37A4253C"/>
    <w:rsid w:val="37BA5001"/>
    <w:rsid w:val="37E650F9"/>
    <w:rsid w:val="3892494B"/>
    <w:rsid w:val="38AE1E66"/>
    <w:rsid w:val="3924237A"/>
    <w:rsid w:val="399E647D"/>
    <w:rsid w:val="39AE70AB"/>
    <w:rsid w:val="39F65AB0"/>
    <w:rsid w:val="3A1133C3"/>
    <w:rsid w:val="3A325BCF"/>
    <w:rsid w:val="3A39340F"/>
    <w:rsid w:val="3AB40D71"/>
    <w:rsid w:val="3AD9074E"/>
    <w:rsid w:val="3ADB31F3"/>
    <w:rsid w:val="3AE945FA"/>
    <w:rsid w:val="3B181276"/>
    <w:rsid w:val="3B4F3267"/>
    <w:rsid w:val="3B5403C4"/>
    <w:rsid w:val="3BEB2780"/>
    <w:rsid w:val="3BF05D4F"/>
    <w:rsid w:val="3C074E47"/>
    <w:rsid w:val="3C0C0783"/>
    <w:rsid w:val="3C5436C0"/>
    <w:rsid w:val="3DC92970"/>
    <w:rsid w:val="3DCB0822"/>
    <w:rsid w:val="3E1F3EA3"/>
    <w:rsid w:val="3F344CBD"/>
    <w:rsid w:val="3F6836EF"/>
    <w:rsid w:val="3F9D5B27"/>
    <w:rsid w:val="3F9F3A96"/>
    <w:rsid w:val="401103E3"/>
    <w:rsid w:val="406030D8"/>
    <w:rsid w:val="407F3B46"/>
    <w:rsid w:val="40FE176C"/>
    <w:rsid w:val="41B77860"/>
    <w:rsid w:val="422E6F5A"/>
    <w:rsid w:val="42920EC7"/>
    <w:rsid w:val="43455594"/>
    <w:rsid w:val="445578F7"/>
    <w:rsid w:val="44953938"/>
    <w:rsid w:val="44E55E94"/>
    <w:rsid w:val="45F90F00"/>
    <w:rsid w:val="46130FB8"/>
    <w:rsid w:val="465E5CDF"/>
    <w:rsid w:val="46DC43A9"/>
    <w:rsid w:val="479F1711"/>
    <w:rsid w:val="481331A1"/>
    <w:rsid w:val="481B403D"/>
    <w:rsid w:val="482A083B"/>
    <w:rsid w:val="48917FDF"/>
    <w:rsid w:val="48FC62D0"/>
    <w:rsid w:val="49131136"/>
    <w:rsid w:val="493C27E9"/>
    <w:rsid w:val="49500C80"/>
    <w:rsid w:val="496F39ED"/>
    <w:rsid w:val="49CD76D0"/>
    <w:rsid w:val="49FF41D3"/>
    <w:rsid w:val="4AE154C8"/>
    <w:rsid w:val="4B3D0885"/>
    <w:rsid w:val="4B5300A9"/>
    <w:rsid w:val="4B85527F"/>
    <w:rsid w:val="4B95246F"/>
    <w:rsid w:val="4BE068DB"/>
    <w:rsid w:val="4BF6002B"/>
    <w:rsid w:val="4C2537F3"/>
    <w:rsid w:val="4CAB3C98"/>
    <w:rsid w:val="4CAD48B8"/>
    <w:rsid w:val="4CC8564E"/>
    <w:rsid w:val="4D147911"/>
    <w:rsid w:val="4D354AD5"/>
    <w:rsid w:val="4D383E18"/>
    <w:rsid w:val="4D754306"/>
    <w:rsid w:val="4D791415"/>
    <w:rsid w:val="4D8B3B2A"/>
    <w:rsid w:val="4D914D6E"/>
    <w:rsid w:val="4DCB7FE7"/>
    <w:rsid w:val="4E1E04FA"/>
    <w:rsid w:val="4E8A0DBC"/>
    <w:rsid w:val="4ECE2238"/>
    <w:rsid w:val="4F0F518C"/>
    <w:rsid w:val="4F2935FA"/>
    <w:rsid w:val="4F913E64"/>
    <w:rsid w:val="4FCC3F86"/>
    <w:rsid w:val="4FDF5532"/>
    <w:rsid w:val="51410B71"/>
    <w:rsid w:val="515F6BC4"/>
    <w:rsid w:val="519A3325"/>
    <w:rsid w:val="519A3FDB"/>
    <w:rsid w:val="51DB4B86"/>
    <w:rsid w:val="52A631B4"/>
    <w:rsid w:val="5310038D"/>
    <w:rsid w:val="53834017"/>
    <w:rsid w:val="54183894"/>
    <w:rsid w:val="548F29DD"/>
    <w:rsid w:val="55333C3E"/>
    <w:rsid w:val="555C599A"/>
    <w:rsid w:val="555E33DF"/>
    <w:rsid w:val="556810DC"/>
    <w:rsid w:val="55B337BC"/>
    <w:rsid w:val="561E0EFD"/>
    <w:rsid w:val="56812E3F"/>
    <w:rsid w:val="56852D09"/>
    <w:rsid w:val="572F00F3"/>
    <w:rsid w:val="57904B6D"/>
    <w:rsid w:val="583312E4"/>
    <w:rsid w:val="5862192B"/>
    <w:rsid w:val="58DE3DB1"/>
    <w:rsid w:val="5A044A98"/>
    <w:rsid w:val="5A0B7A10"/>
    <w:rsid w:val="5A2F1813"/>
    <w:rsid w:val="5ACA18CC"/>
    <w:rsid w:val="5B5D52DE"/>
    <w:rsid w:val="5B94004E"/>
    <w:rsid w:val="5BA42E2A"/>
    <w:rsid w:val="5C207B33"/>
    <w:rsid w:val="5C507542"/>
    <w:rsid w:val="5CC62FD7"/>
    <w:rsid w:val="5CF43621"/>
    <w:rsid w:val="5D1F603D"/>
    <w:rsid w:val="5D344AC1"/>
    <w:rsid w:val="5D4B5084"/>
    <w:rsid w:val="5ED67A28"/>
    <w:rsid w:val="5F1A6ABC"/>
    <w:rsid w:val="5F5E12A0"/>
    <w:rsid w:val="5FC555D0"/>
    <w:rsid w:val="603C7160"/>
    <w:rsid w:val="608A5EC3"/>
    <w:rsid w:val="6235479C"/>
    <w:rsid w:val="62441C88"/>
    <w:rsid w:val="62906686"/>
    <w:rsid w:val="62DB44DA"/>
    <w:rsid w:val="62DC2E62"/>
    <w:rsid w:val="630B1871"/>
    <w:rsid w:val="6320036E"/>
    <w:rsid w:val="63234CF0"/>
    <w:rsid w:val="63974B7F"/>
    <w:rsid w:val="63A039A6"/>
    <w:rsid w:val="63BE4BDA"/>
    <w:rsid w:val="63CC79FC"/>
    <w:rsid w:val="64264155"/>
    <w:rsid w:val="646D3D39"/>
    <w:rsid w:val="64C30B76"/>
    <w:rsid w:val="64CA39A1"/>
    <w:rsid w:val="64F310C0"/>
    <w:rsid w:val="64FF67E8"/>
    <w:rsid w:val="652B6C79"/>
    <w:rsid w:val="65E816C2"/>
    <w:rsid w:val="666351EC"/>
    <w:rsid w:val="66AB0CFD"/>
    <w:rsid w:val="67504A61"/>
    <w:rsid w:val="68E656F6"/>
    <w:rsid w:val="690205FA"/>
    <w:rsid w:val="69201F35"/>
    <w:rsid w:val="69251E17"/>
    <w:rsid w:val="693B237B"/>
    <w:rsid w:val="697F233D"/>
    <w:rsid w:val="698F2C24"/>
    <w:rsid w:val="6A850781"/>
    <w:rsid w:val="6A924C64"/>
    <w:rsid w:val="6ACA1326"/>
    <w:rsid w:val="6B2830C1"/>
    <w:rsid w:val="6B2A452A"/>
    <w:rsid w:val="6B627A4E"/>
    <w:rsid w:val="6BA93FD3"/>
    <w:rsid w:val="6BB9765C"/>
    <w:rsid w:val="6C4A05C8"/>
    <w:rsid w:val="6C5B2E11"/>
    <w:rsid w:val="6CA40852"/>
    <w:rsid w:val="6CB664B5"/>
    <w:rsid w:val="6CF73551"/>
    <w:rsid w:val="6D0820D5"/>
    <w:rsid w:val="6D3330C7"/>
    <w:rsid w:val="6D88378A"/>
    <w:rsid w:val="6E593EC8"/>
    <w:rsid w:val="6E7D0E15"/>
    <w:rsid w:val="6E820990"/>
    <w:rsid w:val="6F185A73"/>
    <w:rsid w:val="6F80024F"/>
    <w:rsid w:val="6F833714"/>
    <w:rsid w:val="6FCA1BDC"/>
    <w:rsid w:val="70687B40"/>
    <w:rsid w:val="7071519B"/>
    <w:rsid w:val="70844B58"/>
    <w:rsid w:val="714C44A7"/>
    <w:rsid w:val="71997D14"/>
    <w:rsid w:val="72326261"/>
    <w:rsid w:val="723E1026"/>
    <w:rsid w:val="72734D90"/>
    <w:rsid w:val="72D92DF3"/>
    <w:rsid w:val="73572DF1"/>
    <w:rsid w:val="73793D13"/>
    <w:rsid w:val="73C848E1"/>
    <w:rsid w:val="74275AAB"/>
    <w:rsid w:val="7447614D"/>
    <w:rsid w:val="74D07EF1"/>
    <w:rsid w:val="74E32310"/>
    <w:rsid w:val="74F05E58"/>
    <w:rsid w:val="75AA6994"/>
    <w:rsid w:val="76073707"/>
    <w:rsid w:val="7609022B"/>
    <w:rsid w:val="762713D4"/>
    <w:rsid w:val="767B46B5"/>
    <w:rsid w:val="76DB582E"/>
    <w:rsid w:val="77AD6AEF"/>
    <w:rsid w:val="77D61CDF"/>
    <w:rsid w:val="77E67A2B"/>
    <w:rsid w:val="78000AED"/>
    <w:rsid w:val="786F3584"/>
    <w:rsid w:val="78D93AD0"/>
    <w:rsid w:val="78E24696"/>
    <w:rsid w:val="792C6E5F"/>
    <w:rsid w:val="79517126"/>
    <w:rsid w:val="79881F57"/>
    <w:rsid w:val="79921F40"/>
    <w:rsid w:val="79D65C49"/>
    <w:rsid w:val="79E7B28D"/>
    <w:rsid w:val="7A1A1C0E"/>
    <w:rsid w:val="7B226FCC"/>
    <w:rsid w:val="7B3B61F4"/>
    <w:rsid w:val="7B421039"/>
    <w:rsid w:val="7BAE4231"/>
    <w:rsid w:val="7CEF4A90"/>
    <w:rsid w:val="7D08140F"/>
    <w:rsid w:val="7D0B77E6"/>
    <w:rsid w:val="7D113291"/>
    <w:rsid w:val="7D2E7EAA"/>
    <w:rsid w:val="7D723650"/>
    <w:rsid w:val="7D733B0F"/>
    <w:rsid w:val="7D821FA4"/>
    <w:rsid w:val="7D9B3F7A"/>
    <w:rsid w:val="7DC97FEE"/>
    <w:rsid w:val="7DEB2DBF"/>
    <w:rsid w:val="7E3E236F"/>
    <w:rsid w:val="7E6D4A02"/>
    <w:rsid w:val="7EC10CE9"/>
    <w:rsid w:val="7ECA53B7"/>
    <w:rsid w:val="7F343772"/>
    <w:rsid w:val="7F466FDA"/>
    <w:rsid w:val="7F7122D0"/>
    <w:rsid w:val="7F971C6A"/>
    <w:rsid w:val="7F9F20EE"/>
    <w:rsid w:val="7FC25586"/>
    <w:rsid w:val="7FEF0525"/>
    <w:rsid w:val="9E3A10E2"/>
    <w:rsid w:val="F2E1F9D4"/>
    <w:rsid w:val="F78808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qFormat="1"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unhideWhenUsed/>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Salutation"/>
    <w:basedOn w:val="1"/>
    <w:next w:val="1"/>
    <w:qFormat/>
    <w:uiPriority w:val="0"/>
  </w:style>
  <w:style w:type="paragraph" w:styleId="7">
    <w:name w:val="Body Text"/>
    <w:basedOn w:val="1"/>
    <w:next w:val="1"/>
    <w:link w:val="33"/>
    <w:qFormat/>
    <w:uiPriority w:val="99"/>
    <w:pPr>
      <w:spacing w:beforeLines="30"/>
    </w:pPr>
    <w:rPr>
      <w:rFonts w:ascii="仿宋_GB2312" w:eastAsia="仿宋_GB2312"/>
      <w:kern w:val="0"/>
      <w:sz w:val="30"/>
    </w:rPr>
  </w:style>
  <w:style w:type="paragraph" w:styleId="8">
    <w:name w:val="Body Text Indent"/>
    <w:basedOn w:val="1"/>
    <w:next w:val="1"/>
    <w:qFormat/>
    <w:uiPriority w:val="99"/>
    <w:pPr>
      <w:ind w:left="420" w:leftChars="200"/>
    </w:p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qFormat/>
    <w:uiPriority w:val="99"/>
    <w:rPr>
      <w:rFonts w:ascii="宋体" w:hAnsi="Courier New" w:eastAsia="宋体"/>
      <w:szCs w:val="21"/>
    </w:rPr>
  </w:style>
  <w:style w:type="paragraph" w:styleId="11">
    <w:name w:val="Balloon Text"/>
    <w:basedOn w:val="1"/>
    <w:link w:val="39"/>
    <w:semiHidden/>
    <w:unhideWhenUsed/>
    <w:qFormat/>
    <w:uiPriority w:val="99"/>
    <w:rPr>
      <w:sz w:val="18"/>
      <w:szCs w:val="18"/>
    </w:rPr>
  </w:style>
  <w:style w:type="paragraph" w:styleId="12">
    <w:name w:val="footer"/>
    <w:basedOn w:val="1"/>
    <w:link w:val="31"/>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able of figures"/>
    <w:basedOn w:val="1"/>
    <w:next w:val="1"/>
    <w:unhideWhenUsed/>
    <w:qFormat/>
    <w:uiPriority w:val="99"/>
    <w:pPr>
      <w:ind w:left="200" w:leftChars="200" w:hanging="200" w:hangingChars="200"/>
    </w:pPr>
    <w:rPr>
      <w:rFonts w:ascii="Times New Roman" w:eastAsia="仿宋_GB2312"/>
      <w:sz w:val="32"/>
      <w:szCs w:val="24"/>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Title"/>
    <w:basedOn w:val="1"/>
    <w:next w:val="1"/>
    <w:qFormat/>
    <w:uiPriority w:val="0"/>
    <w:pPr>
      <w:spacing w:before="240" w:after="60"/>
      <w:jc w:val="center"/>
      <w:outlineLvl w:val="0"/>
    </w:pPr>
    <w:rPr>
      <w:rFonts w:ascii="Arial" w:hAnsi="Arial" w:cs="Arial"/>
      <w:b/>
      <w:bCs/>
      <w:szCs w:val="32"/>
    </w:rPr>
  </w:style>
  <w:style w:type="paragraph" w:styleId="19">
    <w:name w:val="Body Text First Indent"/>
    <w:basedOn w:val="7"/>
    <w:unhideWhenUsed/>
    <w:qFormat/>
    <w:uiPriority w:val="99"/>
    <w:pPr>
      <w:ind w:firstLine="420" w:firstLineChars="100"/>
    </w:pPr>
  </w:style>
  <w:style w:type="paragraph" w:styleId="20">
    <w:name w:val="Body Text First Indent 2"/>
    <w:basedOn w:val="8"/>
    <w:qFormat/>
    <w:uiPriority w:val="99"/>
    <w:pPr>
      <w:ind w:firstLine="420" w:firstLineChars="200"/>
    </w:pPr>
  </w:style>
  <w:style w:type="character" w:styleId="23">
    <w:name w:val="Strong"/>
    <w:basedOn w:val="22"/>
    <w:qFormat/>
    <w:uiPriority w:val="99"/>
    <w:rPr>
      <w:b/>
    </w:rPr>
  </w:style>
  <w:style w:type="character" w:styleId="24">
    <w:name w:val="Hyperlink"/>
    <w:basedOn w:val="22"/>
    <w:unhideWhenUsed/>
    <w:qFormat/>
    <w:uiPriority w:val="99"/>
    <w:rPr>
      <w:color w:val="0000FF" w:themeColor="hyperlink"/>
      <w:u w:val="single"/>
      <w14:textFill>
        <w14:solidFill>
          <w14:schemeClr w14:val="hlink"/>
        </w14:solidFill>
      </w14:textFill>
    </w:rPr>
  </w:style>
  <w:style w:type="paragraph" w:customStyle="1" w:styleId="25">
    <w:name w:val="图表目录1"/>
    <w:basedOn w:val="26"/>
    <w:next w:val="1"/>
    <w:qFormat/>
    <w:uiPriority w:val="0"/>
    <w:pPr>
      <w:ind w:left="200" w:leftChars="200" w:hanging="200" w:hangingChars="200"/>
    </w:pPr>
    <w:rPr>
      <w:rFonts w:eastAsia="仿宋_GB2312"/>
      <w:sz w:val="32"/>
      <w:szCs w:val="24"/>
    </w:rPr>
  </w:style>
  <w:style w:type="paragraph" w:customStyle="1" w:styleId="26">
    <w:name w:val="Normal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27">
    <w:name w:val="table of figures1"/>
    <w:basedOn w:val="1"/>
    <w:next w:val="1"/>
    <w:qFormat/>
    <w:uiPriority w:val="0"/>
    <w:pPr>
      <w:ind w:left="200" w:leftChars="200" w:hanging="200" w:hangingChars="200"/>
    </w:pPr>
    <w:rPr>
      <w:rFonts w:hint="default" w:ascii="Times New Roman" w:eastAsia="仿宋_GB2312"/>
      <w:sz w:val="32"/>
      <w:szCs w:val="24"/>
    </w:rPr>
  </w:style>
  <w:style w:type="character" w:customStyle="1" w:styleId="28">
    <w:name w:val="Header Char"/>
    <w:basedOn w:val="22"/>
    <w:semiHidden/>
    <w:qFormat/>
    <w:uiPriority w:val="99"/>
    <w:rPr>
      <w:rFonts w:ascii="Times New Roman" w:hAnsi="Times New Roman"/>
      <w:sz w:val="18"/>
      <w:szCs w:val="18"/>
    </w:rPr>
  </w:style>
  <w:style w:type="character" w:customStyle="1" w:styleId="29">
    <w:name w:val="页眉 Char"/>
    <w:link w:val="13"/>
    <w:semiHidden/>
    <w:qFormat/>
    <w:locked/>
    <w:uiPriority w:val="99"/>
    <w:rPr>
      <w:sz w:val="18"/>
    </w:rPr>
  </w:style>
  <w:style w:type="character" w:customStyle="1" w:styleId="30">
    <w:name w:val="Footer Char"/>
    <w:basedOn w:val="22"/>
    <w:semiHidden/>
    <w:qFormat/>
    <w:uiPriority w:val="99"/>
    <w:rPr>
      <w:rFonts w:ascii="Times New Roman" w:hAnsi="Times New Roman"/>
      <w:sz w:val="18"/>
      <w:szCs w:val="18"/>
    </w:rPr>
  </w:style>
  <w:style w:type="character" w:customStyle="1" w:styleId="31">
    <w:name w:val="页脚 Char"/>
    <w:link w:val="12"/>
    <w:qFormat/>
    <w:locked/>
    <w:uiPriority w:val="99"/>
    <w:rPr>
      <w:sz w:val="18"/>
    </w:rPr>
  </w:style>
  <w:style w:type="character" w:customStyle="1" w:styleId="32">
    <w:name w:val="Body Text Char"/>
    <w:basedOn w:val="22"/>
    <w:semiHidden/>
    <w:qFormat/>
    <w:uiPriority w:val="99"/>
    <w:rPr>
      <w:rFonts w:ascii="Times New Roman" w:hAnsi="Times New Roman"/>
      <w:szCs w:val="24"/>
    </w:rPr>
  </w:style>
  <w:style w:type="character" w:customStyle="1" w:styleId="33">
    <w:name w:val="正文文本 Char"/>
    <w:link w:val="7"/>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5">
    <w:name w:val="List Paragraph"/>
    <w:basedOn w:val="1"/>
    <w:qFormat/>
    <w:uiPriority w:val="34"/>
    <w:pPr>
      <w:ind w:firstLine="420" w:firstLineChars="200"/>
    </w:pPr>
  </w:style>
  <w:style w:type="character" w:customStyle="1" w:styleId="36">
    <w:name w:val="标题 1 Char"/>
    <w:basedOn w:val="22"/>
    <w:link w:val="2"/>
    <w:qFormat/>
    <w:uiPriority w:val="9"/>
    <w:rPr>
      <w:rFonts w:ascii="Times New Roman" w:hAnsi="Times New Roman"/>
      <w:b/>
      <w:bCs/>
      <w:kern w:val="44"/>
      <w:sz w:val="44"/>
      <w:szCs w:val="44"/>
    </w:rPr>
  </w:style>
  <w:style w:type="character" w:customStyle="1" w:styleId="37">
    <w:name w:val="标题 2 Char"/>
    <w:basedOn w:val="22"/>
    <w:link w:val="3"/>
    <w:qFormat/>
    <w:uiPriority w:val="9"/>
    <w:rPr>
      <w:rFonts w:asciiTheme="majorHAnsi" w:hAnsiTheme="majorHAnsi" w:eastAsiaTheme="majorEastAsia" w:cstheme="majorBidi"/>
      <w:b/>
      <w:bCs/>
      <w:kern w:val="2"/>
      <w:sz w:val="32"/>
      <w:szCs w:val="32"/>
    </w:rPr>
  </w:style>
  <w:style w:type="paragraph" w:customStyle="1" w:styleId="3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9">
    <w:name w:val="批注框文本 Char"/>
    <w:basedOn w:val="22"/>
    <w:link w:val="11"/>
    <w:semiHidden/>
    <w:qFormat/>
    <w:uiPriority w:val="99"/>
    <w:rPr>
      <w:rFonts w:ascii="Times New Roman" w:hAnsi="Times New Roman"/>
      <w:kern w:val="2"/>
      <w:sz w:val="18"/>
      <w:szCs w:val="18"/>
    </w:rPr>
  </w:style>
  <w:style w:type="character" w:customStyle="1" w:styleId="40">
    <w:name w:val="标题 3 Char"/>
    <w:basedOn w:val="22"/>
    <w:link w:val="4"/>
    <w:qFormat/>
    <w:uiPriority w:val="9"/>
    <w:rPr>
      <w:rFonts w:ascii="Times New Roman" w:hAnsi="Times New Roman"/>
      <w:b/>
      <w:bCs/>
      <w:kern w:val="2"/>
      <w:sz w:val="32"/>
      <w:szCs w:val="32"/>
    </w:rPr>
  </w:style>
  <w:style w:type="paragraph" w:customStyle="1" w:styleId="41">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2">
    <w:name w:val="WPSOffice手动目录 1"/>
    <w:qFormat/>
    <w:uiPriority w:val="0"/>
    <w:pPr>
      <w:ind w:leftChars="0"/>
    </w:pPr>
    <w:rPr>
      <w:rFonts w:ascii="Times New Roman" w:hAnsi="Times New Roman" w:eastAsia="宋体" w:cs="Times New Roman"/>
      <w:sz w:val="20"/>
      <w:szCs w:val="20"/>
    </w:rPr>
  </w:style>
  <w:style w:type="paragraph" w:customStyle="1" w:styleId="43">
    <w:name w:val="WPSOffice手动目录 2"/>
    <w:qFormat/>
    <w:uiPriority w:val="0"/>
    <w:pPr>
      <w:ind w:leftChars="200"/>
    </w:pPr>
    <w:rPr>
      <w:rFonts w:ascii="Times New Roman" w:hAnsi="Times New Roman" w:eastAsia="宋体" w:cs="Times New Roman"/>
      <w:sz w:val="20"/>
      <w:szCs w:val="20"/>
    </w:rPr>
  </w:style>
  <w:style w:type="paragraph" w:customStyle="1" w:styleId="44">
    <w:name w:val="〖C01〗正文"/>
    <w:basedOn w:val="1"/>
    <w:qFormat/>
    <w:uiPriority w:val="0"/>
    <w:pPr>
      <w:topLinePunct/>
      <w:spacing w:line="600" w:lineRule="exact"/>
      <w:ind w:firstLine="640" w:firstLineChars="200"/>
    </w:pPr>
    <w:rPr>
      <w:rFonts w:ascii="仿宋_GB2312" w:hAnsi="Calibri" w:eastAsia="仿宋_GB2312"/>
      <w:sz w:val="32"/>
      <w:szCs w:val="32"/>
    </w:rPr>
  </w:style>
  <w:style w:type="paragraph" w:customStyle="1" w:styleId="45">
    <w:name w:val="〖B03〗三级标题"/>
    <w:basedOn w:val="1"/>
    <w:qFormat/>
    <w:uiPriority w:val="0"/>
    <w:pPr>
      <w:numPr>
        <w:ilvl w:val="0"/>
        <w:numId w:val="1"/>
      </w:numPr>
      <w:topLinePunct/>
      <w:spacing w:line="600" w:lineRule="exact"/>
      <w:outlineLvl w:val="2"/>
    </w:pPr>
    <w:rPr>
      <w:rFonts w:ascii="楷体_GB2312" w:hAnsi="Calibri" w:eastAsia="楷体_GB2312"/>
      <w:sz w:val="32"/>
      <w:szCs w:val="32"/>
    </w:rPr>
  </w:style>
  <w:style w:type="character" w:customStyle="1" w:styleId="46">
    <w:name w:val="NormalCharacter"/>
    <w:semiHidden/>
    <w:qFormat/>
    <w:uiPriority w:val="99"/>
  </w:style>
  <w:style w:type="paragraph" w:customStyle="1" w:styleId="47">
    <w:name w:val="列出段落1"/>
    <w:basedOn w:val="1"/>
    <w:qFormat/>
    <w:uiPriority w:val="0"/>
    <w:pPr>
      <w:ind w:firstLine="420" w:firstLineChars="200"/>
    </w:pPr>
    <w:rPr>
      <w:rFonts w:ascii="Calibri" w:hAnsi="Calibri" w:eastAsia="宋体" w:cs="Calibri"/>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88146465321395"/>
          <c:y val="0.248939495423086"/>
          <c:w val="0.847975410931445"/>
          <c:h val="0.622996204509935"/>
        </c:manualLayout>
      </c:layout>
      <c:barChart>
        <c:barDir val="col"/>
        <c:grouping val="clustered"/>
        <c:varyColors val="0"/>
        <c:ser>
          <c:idx val="0"/>
          <c:order val="0"/>
          <c:tx>
            <c:strRef>
              <c:f>Sheet1!$B$1</c:f>
              <c:strCache>
                <c:ptCount val="1"/>
                <c:pt idx="0">
                  <c:v>2020</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收入</c:v>
                </c:pt>
                <c:pt idx="1">
                  <c:v>支出</c:v>
                </c:pt>
              </c:strCache>
            </c:strRef>
          </c:cat>
          <c:val>
            <c:numRef>
              <c:f>Sheet1!$B$2:$B$3</c:f>
              <c:numCache>
                <c:formatCode>General</c:formatCode>
                <c:ptCount val="2"/>
                <c:pt idx="0">
                  <c:v>1589.31</c:v>
                </c:pt>
                <c:pt idx="1">
                  <c:v>1589.31</c:v>
                </c:pt>
              </c:numCache>
            </c:numRef>
          </c:val>
        </c:ser>
        <c:ser>
          <c:idx val="1"/>
          <c:order val="1"/>
          <c:tx>
            <c:strRef>
              <c:f>Sheet1!$C$1</c:f>
              <c:strCache>
                <c:ptCount val="1"/>
                <c:pt idx="0">
                  <c:v>2021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收入</c:v>
                </c:pt>
                <c:pt idx="1">
                  <c:v>支出</c:v>
                </c:pt>
              </c:strCache>
            </c:strRef>
          </c:cat>
          <c:val>
            <c:numRef>
              <c:f>Sheet1!$C$2:$C$3</c:f>
              <c:numCache>
                <c:formatCode>General</c:formatCode>
                <c:ptCount val="2"/>
                <c:pt idx="0">
                  <c:v>979.04</c:v>
                </c:pt>
                <c:pt idx="1">
                  <c:v>979.04</c:v>
                </c:pt>
              </c:numCache>
            </c:numRef>
          </c:val>
        </c:ser>
        <c:dLbls>
          <c:showLegendKey val="0"/>
          <c:showVal val="1"/>
          <c:showCatName val="0"/>
          <c:showSerName val="0"/>
          <c:showPercent val="0"/>
          <c:showBubbleSize val="0"/>
        </c:dLbls>
        <c:gapWidth val="164"/>
        <c:overlap val="-22"/>
        <c:axId val="787059476"/>
        <c:axId val="26589520"/>
      </c:barChart>
      <c:catAx>
        <c:axId val="787059476"/>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589520"/>
        <c:crosses val="autoZero"/>
        <c:auto val="1"/>
        <c:lblAlgn val="ctr"/>
        <c:lblOffset val="100"/>
        <c:noMultiLvlLbl val="0"/>
      </c:catAx>
      <c:valAx>
        <c:axId val="26589520"/>
        <c:scaling>
          <c:orientation val="minMax"/>
        </c:scaling>
        <c:delete val="0"/>
        <c:axPos val="l"/>
        <c:majorGridlines>
          <c:spPr>
            <a:ln>
              <a:solidFill>
                <a:schemeClr val="tx1">
                  <a:lumMod val="15000"/>
                  <a:lumOff val="85000"/>
                </a:schemeClr>
              </a:solidFill>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7059476"/>
        <c:crosses val="autoZero"/>
        <c:crossBetween val="between"/>
      </c:valAx>
      <c:spPr>
        <a:noFill/>
        <a:ln>
          <a:noFill/>
        </a:ln>
        <a:effectLst/>
      </c:spPr>
    </c:plotArea>
    <c:legend>
      <c:legendPos val="r"/>
      <c:layout>
        <c:manualLayout>
          <c:xMode val="edge"/>
          <c:yMode val="edge"/>
          <c:x val="0.473375"/>
          <c:y val="0.8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dPt>
          <c:dPt>
            <c:idx val="6"/>
            <c:bubble3D val="0"/>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dPt>
          <c:dPt>
            <c:idx val="7"/>
            <c:bubble3D val="0"/>
            <c:spPr>
              <a:pattFill prst="ltUpDiag">
                <a:fgClr>
                  <a:schemeClr val="accent2">
                    <a:lumMod val="60000"/>
                  </a:schemeClr>
                </a:fgClr>
                <a:bgClr>
                  <a:schemeClr val="accent2">
                    <a:lumMod val="60000"/>
                    <a:lumMod val="20000"/>
                    <a:lumOff val="80000"/>
                  </a:schemeClr>
                </a:bgClr>
              </a:pattFill>
              <a:ln w="19050">
                <a:solidFill>
                  <a:schemeClr val="lt1"/>
                </a:solidFill>
              </a:ln>
              <a:effectLst>
                <a:innerShdw blurRad="114300">
                  <a:schemeClr val="accent2">
                    <a:lumMod val="60000"/>
                  </a:schemeClr>
                </a:innerShdw>
              </a:effectLst>
            </c:spPr>
          </c:dPt>
          <c:dLbls>
            <c:dLbl>
              <c:idx val="1"/>
              <c:layout>
                <c:manualLayout>
                  <c:x val="-0.086125"/>
                  <c:y val="0.0460118056606629"/>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2"/>
              <c:layout>
                <c:manualLayout>
                  <c:x val="0.058375"/>
                  <c:y val="-0.011651323360184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3"/>
              <c:layout>
                <c:manualLayout>
                  <c:x val="-0.324375"/>
                  <c:y val="0.0544858140309743"/>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4"/>
              <c:layout>
                <c:manualLayout>
                  <c:x val="-0.048125"/>
                  <c:y val="-0.0525028768699655"/>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5"/>
              <c:layout>
                <c:manualLayout>
                  <c:x val="-0.344625"/>
                  <c:y val="0.156936435238073"/>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6"/>
              <c:layout>
                <c:manualLayout>
                  <c:x val="0.17725"/>
                  <c:y val="0.011651323360184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7"/>
              <c:layout>
                <c:manualLayout>
                  <c:x val="0.179875"/>
                  <c:y val="0.0642980437284235"/>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471.57</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dPt>
          <c:dLbls>
            <c:dLbl>
              <c:idx val="0"/>
              <c:layout>
                <c:manualLayout>
                  <c:x val="-0.0177409061901727"/>
                  <c:y val="-0.0429478609625668"/>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2"/>
              <c:layout>
                <c:manualLayout>
                  <c:x val="0.00472239948947033"/>
                  <c:y val="-0.0626671122994652"/>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3"/>
              <c:layout>
                <c:manualLayout>
                  <c:x val="-0.20293554562859"/>
                  <c:y val="-0.0033422459893048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4"/>
              <c:layout>
                <c:manualLayout>
                  <c:x val="0.117166560306318"/>
                  <c:y val="0"/>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348.83</c:v>
                </c:pt>
                <c:pt idx="1">
                  <c:v>510.66</c:v>
                </c:pt>
                <c:pt idx="2">
                  <c:v>0</c:v>
                </c:pt>
                <c:pt idx="3">
                  <c:v>0</c:v>
                </c:pt>
                <c:pt idx="4">
                  <c:v>0</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730306477345246"/>
          <c:y val="0.72040953654188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88146465321395"/>
          <c:y val="0.248939495423086"/>
          <c:w val="0.847975410931445"/>
          <c:h val="0.622996204509935"/>
        </c:manualLayout>
      </c:layout>
      <c:barChart>
        <c:barDir val="col"/>
        <c:grouping val="clustered"/>
        <c:varyColors val="0"/>
        <c:ser>
          <c:idx val="0"/>
          <c:order val="0"/>
          <c:tx>
            <c:strRef>
              <c:f>Sheet1!$B$1</c:f>
              <c:strCache>
                <c:ptCount val="1"/>
                <c:pt idx="0">
                  <c:v>2020</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Sheet1!$B$2:$B$3</c:f>
              <c:numCache>
                <c:formatCode>0.00_ </c:formatCode>
                <c:ptCount val="2"/>
                <c:pt idx="0">
                  <c:v>1589.31</c:v>
                </c:pt>
                <c:pt idx="1">
                  <c:v>1589.31</c:v>
                </c:pt>
              </c:numCache>
            </c:numRef>
          </c:val>
        </c:ser>
        <c:ser>
          <c:idx val="1"/>
          <c:order val="1"/>
          <c:tx>
            <c:strRef>
              <c:f>Sheet1!$C$1</c:f>
              <c:strCache>
                <c:ptCount val="1"/>
                <c:pt idx="0">
                  <c:v>2021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Sheet1!$C$2:$C$3</c:f>
              <c:numCache>
                <c:formatCode>0.00_ </c:formatCode>
                <c:ptCount val="2"/>
                <c:pt idx="0">
                  <c:v>979.04</c:v>
                </c:pt>
                <c:pt idx="1">
                  <c:v>979.04</c:v>
                </c:pt>
              </c:numCache>
            </c:numRef>
          </c:val>
        </c:ser>
        <c:dLbls>
          <c:showLegendKey val="0"/>
          <c:showVal val="1"/>
          <c:showCatName val="0"/>
          <c:showSerName val="0"/>
          <c:showPercent val="0"/>
          <c:showBubbleSize val="0"/>
        </c:dLbls>
        <c:gapWidth val="164"/>
        <c:overlap val="-22"/>
        <c:axId val="787059476"/>
        <c:axId val="26589520"/>
      </c:barChart>
      <c:catAx>
        <c:axId val="787059476"/>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589520"/>
        <c:crosses val="autoZero"/>
        <c:auto val="1"/>
        <c:lblAlgn val="ctr"/>
        <c:lblOffset val="100"/>
        <c:noMultiLvlLbl val="0"/>
      </c:catAx>
      <c:valAx>
        <c:axId val="26589520"/>
        <c:scaling>
          <c:orientation val="minMax"/>
        </c:scaling>
        <c:delete val="0"/>
        <c:axPos val="l"/>
        <c:majorGridlines>
          <c:spPr>
            <a:ln>
              <a:solidFill>
                <a:schemeClr val="tx1">
                  <a:lumMod val="15000"/>
                  <a:lumOff val="85000"/>
                </a:schemeClr>
              </a:solidFill>
            </a:ln>
            <a:effectLst/>
          </c:spPr>
        </c:majorGridlines>
        <c:numFmt formatCode="0.00_ "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7059476"/>
        <c:crosses val="autoZero"/>
        <c:crossBetween val="between"/>
      </c:valAx>
      <c:spPr>
        <a:noFill/>
        <a:ln>
          <a:noFill/>
        </a:ln>
        <a:effectLst/>
      </c:spPr>
    </c:plotArea>
    <c:legend>
      <c:legendPos val="r"/>
      <c:layout>
        <c:manualLayout>
          <c:xMode val="edge"/>
          <c:yMode val="edge"/>
          <c:x val="0.473375"/>
          <c:y val="0.8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88146465321395"/>
          <c:y val="0.248939495423086"/>
          <c:w val="0.847975410931445"/>
          <c:h val="0.622996204509935"/>
        </c:manualLayout>
      </c:layout>
      <c:barChart>
        <c:barDir val="col"/>
        <c:grouping val="clustered"/>
        <c:varyColors val="0"/>
        <c:ser>
          <c:idx val="0"/>
          <c:order val="0"/>
          <c:tx>
            <c:strRef>
              <c:f>Sheet1!$B$1</c:f>
              <c:strCache>
                <c:ptCount val="1"/>
                <c:pt idx="0">
                  <c:v>2020</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c:f>
              <c:strCache>
                <c:ptCount val="1"/>
                <c:pt idx="0">
                  <c:v>一般公共预算财政拨款支出</c:v>
                </c:pt>
              </c:strCache>
            </c:strRef>
          </c:cat>
          <c:val>
            <c:numRef>
              <c:f>Sheet1!$B$2</c:f>
              <c:numCache>
                <c:formatCode>#,##0.00</c:formatCode>
                <c:ptCount val="1"/>
                <c:pt idx="0">
                  <c:v>393.36</c:v>
                </c:pt>
              </c:numCache>
            </c:numRef>
          </c:val>
        </c:ser>
        <c:ser>
          <c:idx val="1"/>
          <c:order val="1"/>
          <c:tx>
            <c:strRef>
              <c:f>Sheet1!$C$1</c:f>
              <c:strCache>
                <c:ptCount val="1"/>
                <c:pt idx="0">
                  <c:v>2021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c:f>
              <c:strCache>
                <c:ptCount val="1"/>
                <c:pt idx="0">
                  <c:v>一般公共预算财政拨款支出</c:v>
                </c:pt>
              </c:strCache>
            </c:strRef>
          </c:cat>
          <c:val>
            <c:numRef>
              <c:f>Sheet1!$C$2</c:f>
              <c:numCache>
                <c:formatCode>0.00_ </c:formatCode>
                <c:ptCount val="1"/>
                <c:pt idx="0">
                  <c:v>859.49</c:v>
                </c:pt>
              </c:numCache>
            </c:numRef>
          </c:val>
        </c:ser>
        <c:dLbls>
          <c:showLegendKey val="0"/>
          <c:showVal val="1"/>
          <c:showCatName val="0"/>
          <c:showSerName val="0"/>
          <c:showPercent val="0"/>
          <c:showBubbleSize val="0"/>
        </c:dLbls>
        <c:gapWidth val="164"/>
        <c:overlap val="-22"/>
        <c:axId val="787059476"/>
        <c:axId val="26589520"/>
      </c:barChart>
      <c:catAx>
        <c:axId val="787059476"/>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589520"/>
        <c:crosses val="autoZero"/>
        <c:auto val="1"/>
        <c:lblAlgn val="ctr"/>
        <c:lblOffset val="100"/>
        <c:noMultiLvlLbl val="0"/>
      </c:catAx>
      <c:valAx>
        <c:axId val="26589520"/>
        <c:scaling>
          <c:orientation val="minMax"/>
        </c:scaling>
        <c:delete val="0"/>
        <c:axPos val="l"/>
        <c:majorGridlines>
          <c:spPr>
            <a:ln>
              <a:solidFill>
                <a:schemeClr val="tx1">
                  <a:lumMod val="15000"/>
                  <a:lumOff val="85000"/>
                </a:schemeClr>
              </a:solidFill>
            </a:ln>
            <a:effectLst/>
          </c:spPr>
        </c:majorGridlines>
        <c:numFmt formatCode="#,##0.00"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7059476"/>
        <c:crosses val="autoZero"/>
        <c:crossBetween val="between"/>
      </c:valAx>
      <c:spPr>
        <a:noFill/>
        <a:ln>
          <a:noFill/>
        </a:ln>
        <a:effectLst/>
      </c:spPr>
    </c:plotArea>
    <c:legend>
      <c:legendPos val="r"/>
      <c:layout>
        <c:manualLayout>
          <c:xMode val="edge"/>
          <c:yMode val="edge"/>
          <c:x val="0.180875"/>
          <c:y val="0.8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Lbls>
            <c:dLbl>
              <c:idx val="0"/>
              <c:layout>
                <c:manualLayout>
                  <c:x val="0.108606783780798"/>
                  <c:y val="0.024357383674286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1"/>
              <c:layout>
                <c:manualLayout>
                  <c:x val="-0.13773701800906"/>
                  <c:y val="0.128285273591007"/>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2"/>
              <c:layout>
                <c:manualLayout>
                  <c:x val="-0.11942034029389"/>
                  <c:y val="0.0513236329237169"/>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Sheet1!$A$2:$A$4</c:f>
              <c:strCache>
                <c:ptCount val="3"/>
                <c:pt idx="0">
                  <c:v>社会保障和就业支出</c:v>
                </c:pt>
                <c:pt idx="1">
                  <c:v>卫生健康支出</c:v>
                </c:pt>
                <c:pt idx="2">
                  <c:v>住房保障支出</c:v>
                </c:pt>
              </c:strCache>
            </c:strRef>
          </c:cat>
          <c:val>
            <c:numRef>
              <c:f>Sheet1!$B$2:$B$4</c:f>
              <c:numCache>
                <c:formatCode>General</c:formatCode>
                <c:ptCount val="3"/>
                <c:pt idx="0">
                  <c:v>27.42</c:v>
                </c:pt>
                <c:pt idx="1">
                  <c:v>805.69</c:v>
                </c:pt>
                <c:pt idx="2">
                  <c:v>26.38</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741"/>
          <c:y val="0.04990041910667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Lbls>
            <c:dLbl>
              <c:idx val="0"/>
              <c:layout>
                <c:manualLayout>
                  <c:x val="0.0671748978013485"/>
                  <c:y val="0.100090802041633"/>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1"/>
              <c:layout>
                <c:manualLayout>
                  <c:x val="-0.13773701800906"/>
                  <c:y val="0.128285273591007"/>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2"/>
              <c:layout>
                <c:manualLayout>
                  <c:x val="-0.11942034029389"/>
                  <c:y val="0.0513236329237169"/>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8.47</c:v>
                </c:pt>
                <c:pt idx="2">
                  <c:v>1.21</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665009391227489"/>
          <c:y val="0.0499043367346939"/>
          <c:w val="0.327256656723014"/>
          <c:h val="0.1509885204081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9765</Words>
  <Characters>10982</Characters>
  <Lines>61</Lines>
  <Paragraphs>17</Paragraphs>
  <TotalTime>1</TotalTime>
  <ScaleCrop>false</ScaleCrop>
  <LinksUpToDate>false</LinksUpToDate>
  <CharactersWithSpaces>11214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2022-08-06T02:23:00Z</cp:lastPrinted>
  <dcterms:modified xsi:type="dcterms:W3CDTF">2023-09-25T03:25:05Z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43B119898DAD4F6E8E744DAEC00C7131</vt:lpwstr>
  </property>
</Properties>
</file>