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default" w:ascii="方正小标宋简体" w:hAnsi="宋体" w:eastAsia="方正小标宋简体"/>
          <w:color w:val="auto"/>
          <w:sz w:val="72"/>
          <w:szCs w:val="72"/>
          <w:highlight w:val="none"/>
          <w:lang w:val="en-US" w:eastAsia="zh-CN"/>
        </w:rPr>
      </w:pPr>
      <w:bookmarkStart w:id="0" w:name="_Toc15306267"/>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lang w:val="en-US" w:eastAsia="zh-CN"/>
        </w:rPr>
      </w:pPr>
      <w:bookmarkStart w:id="1" w:name="_Toc32679"/>
      <w:bookmarkStart w:id="2" w:name="_Toc15377193"/>
      <w:bookmarkStart w:id="3" w:name="_Toc15378441"/>
      <w:bookmarkStart w:id="4" w:name="_Toc15396597"/>
      <w:bookmarkStart w:id="5" w:name="_Toc15377425"/>
      <w:bookmarkStart w:id="6" w:name="_Toc15396475"/>
      <w:bookmarkStart w:id="7" w:name="_Toc565"/>
      <w:bookmarkStart w:id="8" w:name="_Toc6854"/>
      <w:bookmarkStart w:id="9" w:name="_Toc6798"/>
      <w:bookmarkStart w:id="10" w:name="_Toc5721"/>
      <w:bookmarkStart w:id="11" w:name="_Toc17234"/>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21</w:t>
      </w:r>
      <w:r>
        <w:rPr>
          <w:rFonts w:hint="eastAsia" w:ascii="方正小标宋简体" w:hAnsi="方正小标宋简体" w:eastAsia="方正小标宋简体" w:cs="方正小标宋简体"/>
          <w:color w:val="auto"/>
          <w:sz w:val="72"/>
          <w:szCs w:val="72"/>
          <w:highlight w:val="none"/>
        </w:rPr>
        <w:t>年度</w:t>
      </w:r>
      <w:bookmarkEnd w:id="1"/>
      <w:bookmarkEnd w:id="2"/>
      <w:bookmarkEnd w:id="3"/>
      <w:bookmarkEnd w:id="4"/>
      <w:bookmarkEnd w:id="5"/>
      <w:bookmarkEnd w:id="6"/>
      <w:bookmarkEnd w:id="7"/>
      <w:bookmarkEnd w:id="8"/>
      <w:bookmarkEnd w:id="9"/>
      <w:bookmarkEnd w:id="10"/>
      <w:bookmarkEnd w:id="11"/>
    </w:p>
    <w:bookmarkEnd w:id="0"/>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lang w:val="en-US" w:eastAsia="zh-CN"/>
        </w:rPr>
      </w:pPr>
      <w:bookmarkStart w:id="12" w:name="_Toc15396476"/>
      <w:bookmarkStart w:id="13" w:name="_Toc15355"/>
      <w:bookmarkStart w:id="14" w:name="_Toc25875"/>
      <w:bookmarkStart w:id="15" w:name="_Toc15378442"/>
      <w:bookmarkStart w:id="16" w:name="_Toc15306268"/>
      <w:bookmarkStart w:id="17" w:name="_Toc2431"/>
      <w:bookmarkStart w:id="18" w:name="_Toc15377426"/>
      <w:bookmarkStart w:id="19" w:name="_Toc16831"/>
      <w:bookmarkStart w:id="20" w:name="_Toc16067"/>
      <w:bookmarkStart w:id="21" w:name="_Toc15377194"/>
      <w:bookmarkStart w:id="22" w:name="_Toc15396598"/>
      <w:bookmarkStart w:id="23" w:name="_Toc22911"/>
      <w:r>
        <w:rPr>
          <w:rFonts w:hint="eastAsia" w:ascii="方正小标宋简体" w:hAnsi="方正小标宋简体" w:eastAsia="方正小标宋简体" w:cs="方正小标宋简体"/>
          <w:b w:val="0"/>
          <w:bCs w:val="0"/>
          <w:color w:val="auto"/>
          <w:sz w:val="72"/>
          <w:szCs w:val="72"/>
          <w:highlight w:val="none"/>
          <w:lang w:val="en-US" w:eastAsia="zh-CN"/>
        </w:rPr>
        <w:t>中共青年团乐山市沙湾区委员会</w:t>
      </w:r>
      <w:r>
        <w:rPr>
          <w:rFonts w:hint="eastAsia" w:ascii="方正小标宋简体" w:hAnsi="方正小标宋简体" w:eastAsia="方正小标宋简体" w:cs="方正小标宋简体"/>
          <w:sz w:val="72"/>
          <w:szCs w:val="72"/>
        </w:rPr>
        <w:t>部门</w:t>
      </w:r>
      <w:r>
        <w:rPr>
          <w:rFonts w:hint="eastAsia" w:ascii="方正小标宋简体" w:hAnsi="方正小标宋简体" w:eastAsia="方正小标宋简体" w:cs="方正小标宋简体"/>
          <w:b w:val="0"/>
          <w:bCs w:val="0"/>
          <w:color w:val="auto"/>
          <w:sz w:val="72"/>
          <w:szCs w:val="72"/>
          <w:highlight w:val="none"/>
          <w:lang w:eastAsia="zh-CN"/>
        </w:rPr>
        <w:t>决算</w:t>
      </w:r>
      <w:bookmarkEnd w:id="12"/>
      <w:bookmarkEnd w:id="13"/>
      <w:bookmarkEnd w:id="14"/>
      <w:bookmarkEnd w:id="15"/>
      <w:bookmarkEnd w:id="16"/>
      <w:bookmarkEnd w:id="17"/>
      <w:bookmarkEnd w:id="18"/>
      <w:bookmarkEnd w:id="19"/>
      <w:bookmarkEnd w:id="20"/>
      <w:bookmarkEnd w:id="21"/>
      <w:bookmarkEnd w:id="22"/>
      <w:bookmarkEnd w:id="23"/>
    </w:p>
    <w:p>
      <w:pPr>
        <w:spacing w:before="0" w:beforeLines="0" w:after="0" w:afterLines="0" w:line="240" w:lineRule="auto"/>
        <w:ind w:left="0" w:leftChars="0" w:right="0" w:rightChars="0" w:firstLine="0" w:firstLineChars="0"/>
        <w:jc w:val="center"/>
        <w:rPr>
          <w:rFonts w:ascii="宋体" w:hAnsi="宋体" w:eastAsia="宋体" w:cs="Times New Roman"/>
          <w:kern w:val="2"/>
          <w:sz w:val="18"/>
          <w:szCs w:val="21"/>
          <w:lang w:val="en-US" w:eastAsia="zh-CN" w:bidi="ar-SA"/>
        </w:rPr>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91" w:name="_GoBack"/>
      <w:bookmarkEnd w:id="191"/>
      <w:bookmarkStart w:id="24" w:name="_Toc15396599"/>
      <w:bookmarkStart w:id="25" w:name="_Toc15377196"/>
    </w:p>
    <w:sdt>
      <w:sdtPr>
        <w:rPr>
          <w:rFonts w:ascii="宋体" w:hAnsi="宋体" w:eastAsia="宋体" w:cs="Times New Roman"/>
          <w:kern w:val="2"/>
          <w:sz w:val="15"/>
          <w:szCs w:val="18"/>
          <w:lang w:val="en-US" w:eastAsia="zh-CN" w:bidi="ar-SA"/>
        </w:rPr>
        <w:id w:val="147470373"/>
        <w15:color w:val="DBDBDB"/>
        <w:docPartObj>
          <w:docPartGallery w:val="Table of Contents"/>
          <w:docPartUnique/>
        </w:docPartObj>
      </w:sdtPr>
      <w:sdtEndPr>
        <w:rPr>
          <w:rFonts w:ascii="Times New Roman" w:hAnsi="Times New Roman"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目录</w:t>
          </w:r>
        </w:p>
        <w:p>
          <w:pPr>
            <w:pStyle w:val="16"/>
            <w:jc w:val="center"/>
            <w:rPr>
              <w:rFonts w:ascii="仿宋" w:hAnsi="仿宋" w:eastAsia="仿宋" w:cs="Times New Roman"/>
              <w:kern w:val="2"/>
              <w:sz w:val="28"/>
              <w:szCs w:val="28"/>
              <w:lang w:val="en-US" w:eastAsia="zh-CN" w:bidi="ar-SA"/>
            </w:rPr>
          </w:pPr>
          <w:r>
            <w:rPr>
              <w:rFonts w:hint="eastAsia"/>
              <w:color w:val="auto"/>
              <w:sz w:val="24"/>
              <w:szCs w:val="24"/>
              <w:highlight w:val="none"/>
            </w:rPr>
            <w:t>公开时间：20</w:t>
          </w:r>
          <w:r>
            <w:rPr>
              <w:rFonts w:hint="eastAsia"/>
              <w:color w:val="auto"/>
              <w:sz w:val="24"/>
              <w:szCs w:val="24"/>
              <w:highlight w:val="none"/>
              <w:lang w:val="en-US" w:eastAsia="zh-CN"/>
            </w:rPr>
            <w:t>22</w:t>
          </w:r>
          <w:r>
            <w:rPr>
              <w:rFonts w:hint="eastAsia"/>
              <w:color w:val="auto"/>
              <w:sz w:val="24"/>
              <w:szCs w:val="24"/>
              <w:highlight w:val="none"/>
            </w:rPr>
            <w:t>年</w:t>
          </w:r>
          <w:r>
            <w:rPr>
              <w:rFonts w:hint="eastAsia"/>
              <w:color w:val="auto"/>
              <w:sz w:val="24"/>
              <w:szCs w:val="24"/>
              <w:highlight w:val="none"/>
              <w:lang w:val="en-US" w:eastAsia="zh-CN"/>
            </w:rPr>
            <w:t>9</w:t>
          </w:r>
          <w:r>
            <w:rPr>
              <w:rFonts w:hint="eastAsia"/>
              <w:color w:val="auto"/>
              <w:sz w:val="24"/>
              <w:szCs w:val="24"/>
              <w:highlight w:val="none"/>
            </w:rPr>
            <w:t>月</w:t>
          </w:r>
          <w:r>
            <w:rPr>
              <w:rFonts w:hint="eastAsia"/>
              <w:color w:val="auto"/>
              <w:sz w:val="24"/>
              <w:szCs w:val="24"/>
              <w:highlight w:val="none"/>
              <w:lang w:val="en-US" w:eastAsia="zh-CN"/>
            </w:rPr>
            <w:t>9</w:t>
          </w:r>
          <w:r>
            <w:rPr>
              <w:rFonts w:hint="eastAsia"/>
              <w:color w:val="auto"/>
              <w:sz w:val="24"/>
              <w:szCs w:val="24"/>
              <w:highlight w:val="none"/>
            </w:rPr>
            <w:t>日</w:t>
          </w:r>
          <w:r>
            <w:fldChar w:fldCharType="begin"/>
          </w:r>
          <w:r>
            <w:instrText xml:space="preserve">TOC \o "1-2" \h \u </w:instrText>
          </w:r>
          <w:r>
            <w:fldChar w:fldCharType="separate"/>
          </w:r>
        </w:p>
        <w:p>
          <w:pPr>
            <w:pStyle w:val="16"/>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_Toc14417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 xml:space="preserve">第一部分 </w:t>
          </w:r>
          <w:r>
            <w:rPr>
              <w:rFonts w:hint="eastAsia" w:ascii="仿宋" w:hAnsi="仿宋" w:eastAsia="仿宋" w:cs="仿宋"/>
              <w:bCs w:val="0"/>
              <w:sz w:val="28"/>
              <w:szCs w:val="28"/>
              <w:highlight w:val="none"/>
            </w:rPr>
            <w:t>部门概况</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_Toc14417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_Toc15944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一、基</w:t>
          </w:r>
          <w:r>
            <w:rPr>
              <w:rFonts w:hint="eastAsia" w:ascii="仿宋" w:hAnsi="仿宋" w:eastAsia="仿宋" w:cs="仿宋"/>
              <w:bCs w:val="0"/>
              <w:sz w:val="28"/>
              <w:szCs w:val="28"/>
              <w:highlight w:val="none"/>
            </w:rPr>
            <w:t>本职能及主要工作</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_Toc15944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_Toc29102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二、机构设置</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_Toc29102 \h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_Toc9489 </w:instrText>
          </w:r>
          <w:r>
            <w:rPr>
              <w:rFonts w:hint="eastAsia" w:ascii="仿宋" w:hAnsi="仿宋" w:eastAsia="仿宋" w:cs="仿宋"/>
              <w:sz w:val="28"/>
              <w:szCs w:val="28"/>
            </w:rPr>
            <w:fldChar w:fldCharType="separate"/>
          </w:r>
          <w:r>
            <w:rPr>
              <w:rFonts w:hint="eastAsia" w:ascii="仿宋" w:hAnsi="仿宋" w:eastAsia="仿宋" w:cs="仿宋"/>
              <w:bCs/>
              <w:sz w:val="28"/>
              <w:szCs w:val="28"/>
              <w:highlight w:val="none"/>
            </w:rPr>
            <w:t xml:space="preserve">第二部分 </w:t>
          </w:r>
          <w:r>
            <w:rPr>
              <w:rFonts w:hint="eastAsia" w:ascii="仿宋" w:hAnsi="仿宋" w:eastAsia="仿宋" w:cs="仿宋"/>
              <w:bCs/>
              <w:sz w:val="28"/>
              <w:szCs w:val="28"/>
              <w:highlight w:val="none"/>
              <w:lang w:val="en-US" w:eastAsia="zh-CN"/>
            </w:rPr>
            <w:t>2021年度</w:t>
          </w:r>
          <w:r>
            <w:rPr>
              <w:rFonts w:hint="eastAsia" w:ascii="仿宋" w:hAnsi="仿宋" w:eastAsia="仿宋" w:cs="仿宋"/>
              <w:bCs/>
              <w:sz w:val="28"/>
              <w:szCs w:val="28"/>
              <w:highlight w:val="none"/>
              <w:lang w:eastAsia="zh-CN"/>
            </w:rPr>
            <w:t>单位</w:t>
          </w:r>
          <w:r>
            <w:rPr>
              <w:rFonts w:hint="eastAsia" w:ascii="仿宋" w:hAnsi="仿宋" w:eastAsia="仿宋" w:cs="仿宋"/>
              <w:bCs/>
              <w:sz w:val="28"/>
              <w:szCs w:val="28"/>
              <w:highlight w:val="none"/>
            </w:rPr>
            <w:t>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_Toc9489 \h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_Toc2516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一、 </w:t>
          </w:r>
          <w:r>
            <w:rPr>
              <w:rFonts w:hint="eastAsia" w:ascii="仿宋" w:hAnsi="仿宋" w:eastAsia="仿宋" w:cs="仿宋"/>
              <w:sz w:val="28"/>
              <w:szCs w:val="28"/>
              <w:highlight w:val="none"/>
            </w:rPr>
            <w:t>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_Toc2516 \h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_Toc26547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二、 </w:t>
          </w:r>
          <w:r>
            <w:rPr>
              <w:rFonts w:hint="eastAsia" w:ascii="仿宋" w:hAnsi="仿宋" w:eastAsia="仿宋" w:cs="仿宋"/>
              <w:sz w:val="28"/>
              <w:szCs w:val="28"/>
              <w:highlight w:val="none"/>
            </w:rPr>
            <w:t>收入决算情况说明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_Toc26547 \h </w:instrText>
          </w:r>
          <w:r>
            <w:rPr>
              <w:rFonts w:hint="eastAsia" w:ascii="仿宋" w:hAnsi="仿宋" w:eastAsia="仿宋" w:cs="仿宋"/>
              <w:sz w:val="28"/>
              <w:szCs w:val="28"/>
            </w:rPr>
            <w:fldChar w:fldCharType="separate"/>
          </w:r>
          <w:r>
            <w:rPr>
              <w:rFonts w:hint="eastAsia" w:ascii="仿宋" w:hAnsi="仿宋" w:eastAsia="仿宋" w:cs="仿宋"/>
              <w:sz w:val="28"/>
              <w:szCs w:val="28"/>
            </w:rPr>
            <w:t>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_Toc26557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三、 </w:t>
          </w:r>
          <w:r>
            <w:rPr>
              <w:rFonts w:hint="eastAsia" w:ascii="仿宋" w:hAnsi="仿宋" w:eastAsia="仿宋" w:cs="仿宋"/>
              <w:sz w:val="28"/>
              <w:szCs w:val="28"/>
              <w:highlight w:val="none"/>
            </w:rPr>
            <w:t>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_Toc26557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_Toc24005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四、财政拨款收入支出决算总体情况说明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_Toc24005 \h </w:instrText>
          </w:r>
          <w:r>
            <w:rPr>
              <w:rFonts w:hint="eastAsia" w:ascii="仿宋" w:hAnsi="仿宋" w:eastAsia="仿宋" w:cs="仿宋"/>
              <w:sz w:val="28"/>
              <w:szCs w:val="28"/>
            </w:rPr>
            <w:fldChar w:fldCharType="separate"/>
          </w:r>
          <w:r>
            <w:rPr>
              <w:rFonts w:hint="eastAsia" w:ascii="仿宋" w:hAnsi="仿宋" w:eastAsia="仿宋" w:cs="仿宋"/>
              <w:sz w:val="28"/>
              <w:szCs w:val="28"/>
            </w:rPr>
            <w:t>11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_Toc4717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五、一般公共预算财政拨款支出决算情况说明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_Toc4717 \h </w:instrText>
          </w:r>
          <w:r>
            <w:rPr>
              <w:rFonts w:hint="eastAsia" w:ascii="仿宋" w:hAnsi="仿宋" w:eastAsia="仿宋" w:cs="仿宋"/>
              <w:sz w:val="28"/>
              <w:szCs w:val="28"/>
            </w:rPr>
            <w:fldChar w:fldCharType="separate"/>
          </w:r>
          <w:r>
            <w:rPr>
              <w:rFonts w:hint="eastAsia" w:ascii="仿宋" w:hAnsi="仿宋" w:eastAsia="仿宋" w:cs="仿宋"/>
              <w:sz w:val="28"/>
              <w:szCs w:val="28"/>
            </w:rPr>
            <w:t>12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_Toc1458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六、一般公共预算财政拨款基本支出决算情况说明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_Toc1458 \h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_Toc24024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七、“三公”经费财政拨款支出决算情况说明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_Toc24024 \h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_Toc20082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八、政府性基金预算支出决算情况说明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_Toc20082 \h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_Toc9396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九、 </w:t>
          </w:r>
          <w:r>
            <w:rPr>
              <w:rFonts w:hint="eastAsia" w:ascii="仿宋" w:hAnsi="仿宋" w:eastAsia="仿宋" w:cs="仿宋"/>
              <w:sz w:val="28"/>
              <w:szCs w:val="28"/>
              <w:highlight w:val="none"/>
            </w:rPr>
            <w:t>国有资本经营预算支出决算情况说明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_Toc9396 \h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_Toc12337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十、 </w:t>
          </w:r>
          <w:r>
            <w:rPr>
              <w:rFonts w:hint="eastAsia" w:ascii="仿宋" w:hAnsi="仿宋" w:eastAsia="仿宋" w:cs="仿宋"/>
              <w:sz w:val="28"/>
              <w:szCs w:val="28"/>
              <w:highlight w:val="none"/>
            </w:rPr>
            <w:t>其他重要事项的情况说明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_Toc12337 \h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_Toc3999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第三部分 </w:t>
          </w:r>
          <w:r>
            <w:rPr>
              <w:rFonts w:hint="eastAsia" w:ascii="仿宋" w:hAnsi="仿宋" w:eastAsia="仿宋" w:cs="仿宋"/>
              <w:sz w:val="28"/>
              <w:szCs w:val="28"/>
              <w:highlight w:val="none"/>
            </w:rPr>
            <w:t>名词解释</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_Toc3999 \h </w:instrText>
          </w:r>
          <w:r>
            <w:rPr>
              <w:rFonts w:hint="eastAsia" w:ascii="仿宋" w:hAnsi="仿宋" w:eastAsia="仿宋" w:cs="仿宋"/>
              <w:sz w:val="28"/>
              <w:szCs w:val="28"/>
            </w:rPr>
            <w:fldChar w:fldCharType="separate"/>
          </w:r>
          <w:r>
            <w:rPr>
              <w:rFonts w:hint="eastAsia" w:ascii="仿宋" w:hAnsi="仿宋" w:eastAsia="仿宋" w:cs="仿宋"/>
              <w:sz w:val="28"/>
              <w:szCs w:val="28"/>
            </w:rPr>
            <w:t>20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_Toc9621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第四部分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_Toc9621 \h </w:instrText>
          </w:r>
          <w:r>
            <w:rPr>
              <w:rFonts w:hint="eastAsia" w:ascii="仿宋" w:hAnsi="仿宋" w:eastAsia="仿宋" w:cs="仿宋"/>
              <w:sz w:val="28"/>
              <w:szCs w:val="28"/>
            </w:rPr>
            <w:fldChar w:fldCharType="separate"/>
          </w:r>
          <w:r>
            <w:rPr>
              <w:rFonts w:hint="eastAsia" w:ascii="仿宋" w:hAnsi="仿宋" w:eastAsia="仿宋" w:cs="仿宋"/>
              <w:sz w:val="28"/>
              <w:szCs w:val="28"/>
            </w:rPr>
            <w:t>27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_Toc2030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第五部分 附表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_Toc2030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_Toc17051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一、收</w:t>
          </w:r>
          <w:r>
            <w:rPr>
              <w:rFonts w:hint="eastAsia" w:ascii="仿宋" w:hAnsi="仿宋" w:eastAsia="仿宋" w:cs="仿宋"/>
              <w:bCs w:val="0"/>
              <w:sz w:val="28"/>
              <w:szCs w:val="28"/>
              <w:highlight w:val="none"/>
            </w:rPr>
            <w:t>入支出决算总表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_Toc17051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_Toc14439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二、收</w:t>
          </w:r>
          <w:r>
            <w:rPr>
              <w:rFonts w:hint="eastAsia" w:ascii="仿宋" w:hAnsi="仿宋" w:eastAsia="仿宋" w:cs="仿宋"/>
              <w:bCs w:val="0"/>
              <w:sz w:val="28"/>
              <w:szCs w:val="28"/>
              <w:highlight w:val="none"/>
            </w:rPr>
            <w:t>入决算表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_Toc14439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_Toc3642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三、</w:t>
          </w:r>
          <w:r>
            <w:rPr>
              <w:rFonts w:hint="eastAsia" w:ascii="仿宋" w:hAnsi="仿宋" w:eastAsia="仿宋" w:cs="仿宋"/>
              <w:sz w:val="28"/>
              <w:szCs w:val="28"/>
              <w:highlight w:val="none"/>
            </w:rPr>
            <w:t>支</w:t>
          </w:r>
          <w:r>
            <w:rPr>
              <w:rFonts w:hint="eastAsia" w:ascii="仿宋" w:hAnsi="仿宋" w:eastAsia="仿宋" w:cs="仿宋"/>
              <w:bCs w:val="0"/>
              <w:sz w:val="28"/>
              <w:szCs w:val="28"/>
              <w:highlight w:val="none"/>
            </w:rPr>
            <w:t>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_Toc3642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_Toc11527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四、</w:t>
          </w:r>
          <w:r>
            <w:rPr>
              <w:rFonts w:hint="eastAsia" w:ascii="仿宋" w:hAnsi="仿宋" w:eastAsia="仿宋" w:cs="仿宋"/>
              <w:sz w:val="28"/>
              <w:szCs w:val="28"/>
              <w:highlight w:val="none"/>
            </w:rPr>
            <w:t>财</w:t>
          </w:r>
          <w:r>
            <w:rPr>
              <w:rFonts w:hint="eastAsia" w:ascii="仿宋" w:hAnsi="仿宋" w:eastAsia="仿宋" w:cs="仿宋"/>
              <w:bCs w:val="0"/>
              <w:sz w:val="28"/>
              <w:szCs w:val="28"/>
              <w:highlight w:val="none"/>
            </w:rPr>
            <w:t>政拨款收入支出决算总表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_Toc11527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_Toc24062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五、</w:t>
          </w:r>
          <w:r>
            <w:rPr>
              <w:rFonts w:hint="eastAsia" w:ascii="仿宋" w:hAnsi="仿宋" w:eastAsia="仿宋" w:cs="仿宋"/>
              <w:sz w:val="28"/>
              <w:szCs w:val="28"/>
              <w:highlight w:val="none"/>
            </w:rPr>
            <w:t>财</w:t>
          </w:r>
          <w:r>
            <w:rPr>
              <w:rFonts w:hint="eastAsia" w:ascii="仿宋" w:hAnsi="仿宋" w:eastAsia="仿宋" w:cs="仿宋"/>
              <w:bCs w:val="0"/>
              <w:sz w:val="28"/>
              <w:szCs w:val="28"/>
              <w:highlight w:val="none"/>
            </w:rPr>
            <w:t>政拨款支出决算明细表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_Toc24062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_Toc6253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六、</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_Toc6253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_Toc24788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七、</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般公共预算财政拨款支出决算明细表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_Toc24788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_Toc16758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八、</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般公共预算财政拨款基本支出决算表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_Toc16758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_Toc20287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九、</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般公共预算财政拨款项目支出决算表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_Toc20287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_Toc16198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般公共预算财政拨款“三公”经费支出决算表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_Toc16198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_Toc27069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十一、</w:t>
          </w:r>
          <w:r>
            <w:rPr>
              <w:rFonts w:hint="eastAsia" w:ascii="仿宋" w:hAnsi="仿宋" w:eastAsia="仿宋" w:cs="仿宋"/>
              <w:sz w:val="28"/>
              <w:szCs w:val="28"/>
              <w:highlight w:val="none"/>
            </w:rPr>
            <w:t>政</w:t>
          </w:r>
          <w:r>
            <w:rPr>
              <w:rFonts w:hint="eastAsia" w:ascii="仿宋" w:hAnsi="仿宋" w:eastAsia="仿宋" w:cs="仿宋"/>
              <w:bCs w:val="0"/>
              <w:sz w:val="28"/>
              <w:szCs w:val="28"/>
              <w:highlight w:val="none"/>
            </w:rPr>
            <w:t>府性基金预算财政拨款收入支出决算表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_Toc27069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_Toc26280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十二、</w:t>
          </w:r>
          <w:r>
            <w:rPr>
              <w:rFonts w:hint="eastAsia" w:ascii="仿宋" w:hAnsi="仿宋" w:eastAsia="仿宋" w:cs="仿宋"/>
              <w:sz w:val="28"/>
              <w:szCs w:val="28"/>
              <w:highlight w:val="none"/>
            </w:rPr>
            <w:t>政</w:t>
          </w:r>
          <w:r>
            <w:rPr>
              <w:rFonts w:hint="eastAsia" w:ascii="仿宋" w:hAnsi="仿宋" w:eastAsia="仿宋" w:cs="仿宋"/>
              <w:bCs w:val="0"/>
              <w:sz w:val="28"/>
              <w:szCs w:val="28"/>
              <w:highlight w:val="none"/>
            </w:rPr>
            <w:t>府性基金预算财政拨款“三公”经费支出决算表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_Toc26280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_Toc30499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十三、</w:t>
          </w:r>
          <w:r>
            <w:rPr>
              <w:rFonts w:hint="eastAsia" w:ascii="仿宋" w:hAnsi="仿宋" w:eastAsia="仿宋" w:cs="仿宋"/>
              <w:sz w:val="28"/>
              <w:szCs w:val="28"/>
              <w:highlight w:val="none"/>
            </w:rPr>
            <w:t>国</w:t>
          </w:r>
          <w:r>
            <w:rPr>
              <w:rFonts w:hint="eastAsia" w:ascii="仿宋" w:hAnsi="仿宋" w:eastAsia="仿宋" w:cs="仿宋"/>
              <w:bCs w:val="0"/>
              <w:sz w:val="28"/>
              <w:szCs w:val="28"/>
              <w:highlight w:val="none"/>
            </w:rPr>
            <w:t>有资本经营预算</w:t>
          </w:r>
          <w:r>
            <w:rPr>
              <w:rFonts w:hint="eastAsia" w:ascii="仿宋" w:hAnsi="仿宋" w:eastAsia="仿宋" w:cs="仿宋"/>
              <w:bCs w:val="0"/>
              <w:sz w:val="28"/>
              <w:szCs w:val="28"/>
              <w:highlight w:val="none"/>
              <w:lang w:eastAsia="zh-CN"/>
            </w:rPr>
            <w:t>财政拨款收入</w:t>
          </w:r>
          <w:r>
            <w:rPr>
              <w:rFonts w:hint="eastAsia" w:ascii="仿宋" w:hAnsi="仿宋" w:eastAsia="仿宋" w:cs="仿宋"/>
              <w:bCs w:val="0"/>
              <w:sz w:val="28"/>
              <w:szCs w:val="28"/>
              <w:highlight w:val="none"/>
            </w:rPr>
            <w:t>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_Toc30499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8"/>
            <w:tabs>
              <w:tab w:val="right" w:leader="dot" w:pos="8306"/>
              <w:tab w:val="clear" w:pos="8296"/>
            </w:tabs>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_Toc31598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lang w:eastAsia="zh-CN"/>
            </w:rPr>
            <w:t>十四、国有资本经营预算财政拨款支出决算表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_Toc31598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tabs>
              <w:tab w:val="right" w:leader="dot" w:pos="8296"/>
            </w:tabs>
            <w:jc w:val="center"/>
            <w:rPr>
              <w:rFonts w:hint="eastAsia" w:ascii="黑体" w:hAnsi="黑体" w:eastAsia="黑体"/>
              <w:b w:val="0"/>
              <w:color w:val="auto"/>
              <w:highlight w:val="none"/>
            </w:rPr>
            <w:sectPr>
              <w:footerReference r:id="rId7" w:type="first"/>
              <w:footerReference r:id="rId6" w:type="default"/>
              <w:pgSz w:w="11906" w:h="16838"/>
              <w:pgMar w:top="1440" w:right="1800" w:bottom="1440" w:left="1800" w:header="851" w:footer="992" w:gutter="0"/>
              <w:pgNumType w:start="1"/>
              <w:cols w:space="425" w:num="1"/>
              <w:titlePg/>
              <w:docGrid w:type="lines" w:linePitch="312" w:charSpace="0"/>
            </w:sectPr>
          </w:pPr>
          <w:r>
            <w:fldChar w:fldCharType="end"/>
          </w:r>
        </w:p>
      </w:sdtContent>
    </w:sdt>
    <w:bookmarkEnd w:id="24"/>
    <w:bookmarkEnd w:id="25"/>
    <w:p>
      <w:pPr>
        <w:pStyle w:val="4"/>
        <w:jc w:val="center"/>
        <w:rPr>
          <w:rFonts w:hint="eastAsia" w:ascii="黑体" w:hAnsi="黑体" w:eastAsia="黑体"/>
          <w:b w:val="0"/>
          <w:color w:val="auto"/>
          <w:highlight w:val="none"/>
        </w:rPr>
      </w:pPr>
      <w:bookmarkStart w:id="26" w:name="_Toc14417"/>
      <w:bookmarkStart w:id="27" w:name="_Toc15377197"/>
      <w:bookmarkStart w:id="28" w:name="_Toc15396600"/>
      <w:r>
        <w:rPr>
          <w:rFonts w:hint="eastAsia" w:ascii="黑体" w:hAnsi="黑体" w:eastAsia="黑体"/>
          <w:b w:val="0"/>
          <w:color w:val="auto"/>
          <w:highlight w:val="none"/>
        </w:rPr>
        <w:t xml:space="preserve">第一部分 </w:t>
      </w:r>
      <w:r>
        <w:rPr>
          <w:rStyle w:val="37"/>
          <w:rFonts w:hint="eastAsia" w:ascii="黑体" w:hAnsi="黑体" w:eastAsia="黑体"/>
          <w:b w:val="0"/>
          <w:bCs w:val="0"/>
          <w:color w:val="auto"/>
          <w:highlight w:val="none"/>
        </w:rPr>
        <w:t>部门概况</w:t>
      </w:r>
      <w:bookmarkEnd w:id="26"/>
    </w:p>
    <w:p>
      <w:pPr>
        <w:pStyle w:val="5"/>
        <w:rPr>
          <w:rStyle w:val="38"/>
          <w:rFonts w:ascii="仿宋" w:hAnsi="仿宋" w:eastAsia="仿宋"/>
          <w:b w:val="0"/>
          <w:bCs w:val="0"/>
          <w:color w:val="auto"/>
          <w:highlight w:val="none"/>
        </w:rPr>
      </w:pPr>
      <w:bookmarkStart w:id="29" w:name="_Toc15944"/>
      <w:r>
        <w:rPr>
          <w:rFonts w:hint="eastAsia" w:ascii="黑体" w:hAnsi="黑体" w:eastAsia="黑体"/>
          <w:b w:val="0"/>
          <w:color w:val="auto"/>
          <w:highlight w:val="none"/>
        </w:rPr>
        <w:t>一、基</w:t>
      </w:r>
      <w:r>
        <w:rPr>
          <w:rStyle w:val="38"/>
          <w:rFonts w:hint="eastAsia" w:ascii="黑体" w:hAnsi="黑体" w:eastAsia="黑体"/>
          <w:b w:val="0"/>
          <w:bCs w:val="0"/>
          <w:color w:val="auto"/>
          <w:highlight w:val="none"/>
        </w:rPr>
        <w:t>本职能及主要工作</w:t>
      </w:r>
      <w:bookmarkEnd w:id="29"/>
    </w:p>
    <w:p>
      <w:pPr>
        <w:pStyle w:val="9"/>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（一）主要职能。</w:t>
      </w:r>
    </w:p>
    <w:p>
      <w:pPr>
        <w:spacing w:line="600" w:lineRule="exact"/>
        <w:ind w:firstLine="640" w:firstLineChars="200"/>
        <w:rPr>
          <w:rFonts w:hint="eastAsia" w:ascii="仿宋" w:hAnsi="仿宋" w:eastAsia="仿宋" w:cs="Times New Roman"/>
          <w:color w:val="auto"/>
          <w:sz w:val="32"/>
          <w:szCs w:val="32"/>
          <w:highlight w:val="none"/>
          <w:lang w:val="en-US" w:eastAsia="zh-CN"/>
        </w:rPr>
      </w:pPr>
      <w:bookmarkStart w:id="30" w:name="_Toc23286"/>
      <w:bookmarkStart w:id="31" w:name="_Toc8395"/>
      <w:r>
        <w:rPr>
          <w:rFonts w:hint="eastAsia" w:ascii="仿宋" w:hAnsi="仿宋" w:eastAsia="仿宋" w:cs="Times New Roman"/>
          <w:color w:val="auto"/>
          <w:sz w:val="32"/>
          <w:szCs w:val="32"/>
          <w:highlight w:val="none"/>
          <w:lang w:val="en-US" w:eastAsia="zh-CN"/>
        </w:rPr>
        <w:t>1.发挥好党的助手和后备军作用为党的事业教育、团结</w:t>
      </w:r>
      <w:bookmarkEnd w:id="30"/>
      <w:bookmarkEnd w:id="31"/>
      <w:r>
        <w:rPr>
          <w:rFonts w:hint="eastAsia" w:ascii="仿宋" w:hAnsi="仿宋" w:eastAsia="仿宋" w:cs="Times New Roman"/>
          <w:color w:val="auto"/>
          <w:sz w:val="32"/>
          <w:szCs w:val="32"/>
          <w:highlight w:val="none"/>
          <w:lang w:val="en-US" w:eastAsia="zh-CN"/>
        </w:rPr>
        <w:t xml:space="preserve"> </w:t>
      </w:r>
      <w:bookmarkStart w:id="32" w:name="_Toc9879"/>
      <w:bookmarkStart w:id="33" w:name="_Toc10340"/>
      <w:r>
        <w:rPr>
          <w:rFonts w:hint="eastAsia" w:ascii="仿宋" w:hAnsi="仿宋" w:eastAsia="仿宋" w:cs="Times New Roman"/>
          <w:color w:val="auto"/>
          <w:sz w:val="32"/>
          <w:szCs w:val="32"/>
          <w:highlight w:val="none"/>
          <w:lang w:val="en-US" w:eastAsia="zh-CN"/>
        </w:rPr>
        <w:t>和带领好青年。引导青年坚定信念，刻苦学习，奋发成才，</w:t>
      </w:r>
      <w:bookmarkEnd w:id="32"/>
      <w:bookmarkEnd w:id="33"/>
      <w:bookmarkStart w:id="34" w:name="_Toc21321"/>
      <w:bookmarkStart w:id="35" w:name="_Toc8537"/>
      <w:r>
        <w:rPr>
          <w:rFonts w:hint="eastAsia" w:ascii="仿宋" w:hAnsi="仿宋" w:eastAsia="仿宋" w:cs="Times New Roman"/>
          <w:color w:val="auto"/>
          <w:sz w:val="32"/>
          <w:szCs w:val="32"/>
          <w:highlight w:val="none"/>
          <w:lang w:val="en-US" w:eastAsia="zh-CN"/>
        </w:rPr>
        <w:t>使广大青年在全面建设小康社会的伟大实践中锻炼成长为有 理想、有道德、有文化、有纪律的一代新人。</w:t>
      </w:r>
      <w:bookmarkEnd w:id="34"/>
      <w:bookmarkEnd w:id="35"/>
      <w:r>
        <w:rPr>
          <w:rFonts w:hint="eastAsia" w:ascii="仿宋" w:hAnsi="仿宋" w:eastAsia="仿宋" w:cs="Times New Roman"/>
          <w:color w:val="auto"/>
          <w:sz w:val="32"/>
          <w:szCs w:val="32"/>
          <w:highlight w:val="none"/>
          <w:lang w:val="en-US" w:eastAsia="zh-CN"/>
        </w:rPr>
        <w:t xml:space="preserve"> </w:t>
      </w:r>
    </w:p>
    <w:p>
      <w:pPr>
        <w:spacing w:line="600" w:lineRule="exact"/>
        <w:ind w:firstLine="640" w:firstLineChars="200"/>
        <w:rPr>
          <w:rFonts w:hint="eastAsia" w:ascii="仿宋" w:hAnsi="仿宋" w:eastAsia="仿宋" w:cs="Times New Roman"/>
          <w:color w:val="auto"/>
          <w:sz w:val="32"/>
          <w:szCs w:val="32"/>
          <w:highlight w:val="none"/>
          <w:lang w:val="en-US" w:eastAsia="zh-CN"/>
        </w:rPr>
      </w:pPr>
      <w:bookmarkStart w:id="36" w:name="_Toc12643"/>
      <w:bookmarkStart w:id="37" w:name="_Toc8111"/>
      <w:r>
        <w:rPr>
          <w:rFonts w:hint="eastAsia" w:ascii="仿宋" w:hAnsi="仿宋" w:eastAsia="仿宋" w:cs="Times New Roman"/>
          <w:color w:val="auto"/>
          <w:sz w:val="32"/>
          <w:szCs w:val="32"/>
          <w:highlight w:val="none"/>
          <w:lang w:val="en-US" w:eastAsia="zh-CN"/>
        </w:rPr>
        <w:t>2.发挥好国家政权的重要社会支柱作用。积极协助政府</w:t>
      </w:r>
      <w:bookmarkEnd w:id="36"/>
      <w:bookmarkEnd w:id="37"/>
      <w:r>
        <w:rPr>
          <w:rFonts w:hint="eastAsia" w:ascii="仿宋" w:hAnsi="仿宋" w:eastAsia="仿宋" w:cs="Times New Roman"/>
          <w:color w:val="auto"/>
          <w:sz w:val="32"/>
          <w:szCs w:val="32"/>
          <w:highlight w:val="none"/>
          <w:lang w:val="en-US" w:eastAsia="zh-CN"/>
        </w:rPr>
        <w:t xml:space="preserve"> </w:t>
      </w:r>
      <w:bookmarkStart w:id="38" w:name="_Toc20274"/>
      <w:bookmarkStart w:id="39" w:name="_Toc575"/>
      <w:r>
        <w:rPr>
          <w:rFonts w:hint="eastAsia" w:ascii="仿宋" w:hAnsi="仿宋" w:eastAsia="仿宋" w:cs="Times New Roman"/>
          <w:color w:val="auto"/>
          <w:sz w:val="32"/>
          <w:szCs w:val="32"/>
          <w:highlight w:val="none"/>
          <w:lang w:val="en-US" w:eastAsia="zh-CN"/>
        </w:rPr>
        <w:t>管理好青年事务。参与社会协商对话、民主管理和民主监</w:t>
      </w:r>
      <w:bookmarkEnd w:id="38"/>
      <w:bookmarkEnd w:id="39"/>
      <w:r>
        <w:rPr>
          <w:rFonts w:hint="eastAsia" w:ascii="仿宋" w:hAnsi="仿宋" w:eastAsia="仿宋" w:cs="Times New Roman"/>
          <w:color w:val="auto"/>
          <w:sz w:val="32"/>
          <w:szCs w:val="32"/>
          <w:highlight w:val="none"/>
          <w:lang w:val="en-US" w:eastAsia="zh-CN"/>
        </w:rPr>
        <w:t xml:space="preserve"> </w:t>
      </w:r>
      <w:bookmarkStart w:id="40" w:name="_Toc13896"/>
      <w:bookmarkStart w:id="41" w:name="_Toc24417"/>
      <w:r>
        <w:rPr>
          <w:rFonts w:hint="eastAsia" w:ascii="仿宋" w:hAnsi="仿宋" w:eastAsia="仿宋" w:cs="Times New Roman"/>
          <w:color w:val="auto"/>
          <w:sz w:val="32"/>
          <w:szCs w:val="32"/>
          <w:highlight w:val="none"/>
          <w:lang w:val="en-US" w:eastAsia="zh-CN"/>
        </w:rPr>
        <w:t>督，承担政府委托的有关青年工作事务，指导和帮助青联、</w:t>
      </w:r>
      <w:bookmarkEnd w:id="40"/>
      <w:bookmarkEnd w:id="41"/>
      <w:bookmarkStart w:id="42" w:name="_Toc31790"/>
      <w:bookmarkStart w:id="43" w:name="_Toc27057"/>
      <w:r>
        <w:rPr>
          <w:rFonts w:hint="eastAsia" w:ascii="仿宋" w:hAnsi="仿宋" w:eastAsia="仿宋" w:cs="Times New Roman"/>
          <w:color w:val="auto"/>
          <w:sz w:val="32"/>
          <w:szCs w:val="32"/>
          <w:highlight w:val="none"/>
          <w:lang w:val="en-US" w:eastAsia="zh-CN"/>
        </w:rPr>
        <w:t>学联、少先队等青少年组织开展工作。</w:t>
      </w:r>
      <w:bookmarkEnd w:id="42"/>
      <w:bookmarkEnd w:id="43"/>
      <w:r>
        <w:rPr>
          <w:rFonts w:hint="eastAsia" w:ascii="仿宋" w:hAnsi="仿宋" w:eastAsia="仿宋" w:cs="Times New Roman"/>
          <w:color w:val="auto"/>
          <w:sz w:val="32"/>
          <w:szCs w:val="32"/>
          <w:highlight w:val="none"/>
          <w:lang w:val="en-US" w:eastAsia="zh-CN"/>
        </w:rPr>
        <w:t xml:space="preserve"> </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bookmarkStart w:id="44" w:name="_Toc30934"/>
      <w:bookmarkStart w:id="45" w:name="_Toc24363"/>
      <w:r>
        <w:rPr>
          <w:rFonts w:hint="eastAsia" w:ascii="仿宋" w:hAnsi="仿宋" w:eastAsia="仿宋" w:cs="Times New Roman"/>
          <w:color w:val="auto"/>
          <w:sz w:val="32"/>
          <w:szCs w:val="32"/>
          <w:highlight w:val="none"/>
          <w:lang w:val="en-US" w:eastAsia="zh-CN"/>
        </w:rPr>
        <w:t>3.发挥党和政府联系青年群众的桥梁和纽带作用，依法</w:t>
      </w:r>
      <w:bookmarkEnd w:id="44"/>
      <w:bookmarkEnd w:id="45"/>
      <w:r>
        <w:rPr>
          <w:rFonts w:hint="eastAsia" w:ascii="仿宋" w:hAnsi="仿宋" w:eastAsia="仿宋" w:cs="Times New Roman"/>
          <w:color w:val="auto"/>
          <w:sz w:val="32"/>
          <w:szCs w:val="32"/>
          <w:highlight w:val="none"/>
          <w:lang w:val="en-US" w:eastAsia="zh-CN"/>
        </w:rPr>
        <w:t xml:space="preserve"> </w:t>
      </w:r>
      <w:bookmarkStart w:id="46" w:name="_Toc26043"/>
      <w:bookmarkStart w:id="47" w:name="_Toc18296"/>
      <w:r>
        <w:rPr>
          <w:rFonts w:hint="eastAsia" w:ascii="仿宋" w:hAnsi="仿宋" w:eastAsia="仿宋" w:cs="Times New Roman"/>
          <w:color w:val="auto"/>
          <w:sz w:val="32"/>
          <w:szCs w:val="32"/>
          <w:highlight w:val="none"/>
          <w:lang w:val="en-US" w:eastAsia="zh-CN"/>
        </w:rPr>
        <w:t>代表和维护青年的具体利益，反映青年的意愿和呼声。在维</w:t>
      </w:r>
      <w:bookmarkEnd w:id="46"/>
      <w:bookmarkEnd w:id="47"/>
      <w:r>
        <w:rPr>
          <w:rFonts w:hint="eastAsia" w:ascii="仿宋" w:hAnsi="仿宋" w:eastAsia="仿宋" w:cs="Times New Roman"/>
          <w:color w:val="auto"/>
          <w:sz w:val="32"/>
          <w:szCs w:val="32"/>
          <w:highlight w:val="none"/>
          <w:lang w:val="en-US" w:eastAsia="zh-CN"/>
        </w:rPr>
        <w:t xml:space="preserve"> </w:t>
      </w:r>
      <w:bookmarkStart w:id="48" w:name="_Toc16083"/>
      <w:bookmarkStart w:id="49" w:name="_Toc28775"/>
      <w:r>
        <w:rPr>
          <w:rFonts w:hint="eastAsia" w:ascii="仿宋" w:hAnsi="仿宋" w:eastAsia="仿宋" w:cs="Times New Roman"/>
          <w:color w:val="auto"/>
          <w:sz w:val="32"/>
          <w:szCs w:val="32"/>
          <w:highlight w:val="none"/>
          <w:lang w:val="en-US" w:eastAsia="zh-CN"/>
        </w:rPr>
        <w:t>护全国人民总体利益的前提下，代表和维护青年的具体利</w:t>
      </w:r>
      <w:bookmarkEnd w:id="48"/>
      <w:bookmarkEnd w:id="49"/>
      <w:r>
        <w:rPr>
          <w:rFonts w:hint="eastAsia" w:ascii="仿宋" w:hAnsi="仿宋" w:eastAsia="仿宋" w:cs="Times New Roman"/>
          <w:color w:val="auto"/>
          <w:sz w:val="32"/>
          <w:szCs w:val="32"/>
          <w:highlight w:val="none"/>
          <w:lang w:val="en-US" w:eastAsia="zh-CN"/>
        </w:rPr>
        <w:t xml:space="preserve"> 益，全心全意为青年服务，发挥青年利益的社会代表作用</w:t>
      </w:r>
      <w:r>
        <w:rPr>
          <w:rFonts w:hint="eastAsia" w:ascii="仿宋" w:hAnsi="仿宋" w:eastAsia="仿宋" w:cs="Times New Roman"/>
          <w:bCs/>
          <w:color w:val="000000"/>
          <w:kern w:val="0"/>
          <w:sz w:val="32"/>
          <w:szCs w:val="32"/>
          <w:lang w:val="en-US" w:eastAsia="zh-CN" w:bidi="ar-SA"/>
        </w:rPr>
        <w:t>。</w:t>
      </w:r>
    </w:p>
    <w:p>
      <w:pPr>
        <w:pStyle w:val="9"/>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（二）</w:t>
      </w:r>
      <w:r>
        <w:rPr>
          <w:rFonts w:hint="eastAsia" w:ascii="仿宋" w:hAnsi="仿宋" w:eastAsia="仿宋"/>
          <w:bCs/>
          <w:color w:val="auto"/>
          <w:sz w:val="32"/>
          <w:szCs w:val="32"/>
          <w:highlight w:val="none"/>
          <w:lang w:val="en-US" w:eastAsia="zh-CN"/>
        </w:rPr>
        <w:t>2021年重点</w:t>
      </w:r>
      <w:r>
        <w:rPr>
          <w:rFonts w:hint="eastAsia" w:ascii="仿宋" w:hAnsi="仿宋" w:eastAsia="仿宋"/>
          <w:bCs/>
          <w:color w:val="auto"/>
          <w:sz w:val="32"/>
          <w:szCs w:val="32"/>
          <w:highlight w:val="none"/>
        </w:rPr>
        <w:t>工作</w:t>
      </w:r>
      <w:bookmarkEnd w:id="27"/>
      <w:bookmarkEnd w:id="28"/>
      <w:r>
        <w:rPr>
          <w:rFonts w:hint="eastAsia" w:ascii="仿宋" w:hAnsi="仿宋" w:eastAsia="仿宋"/>
          <w:bCs/>
          <w:color w:val="auto"/>
          <w:sz w:val="32"/>
          <w:szCs w:val="32"/>
          <w:highlight w:val="none"/>
          <w:lang w:eastAsia="zh-CN"/>
        </w:rPr>
        <w:t>完成情况</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 xml:space="preserve">一、以党史学习教育为抓手，有力引领青年思想 </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 xml:space="preserve">（一）党建带团建促队建强化政治引领。在全团开展“6311”党史学习工作，带领和指导全区 302 个团组织全覆盖 开展党史学习教育和“请党放心，强国有我”等主题团日活动,271 个团组织开展入团仪式，240 个少先队组织开展“红领巾”主题队会。承办 2021 年乐山市“请党放心，强国有我”主题队日活动，提升团员和少先队员的政治判断力、政治领悟力和政治执行力。 </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 xml:space="preserve">（二）专题学习提升理论水平。集中组织全体干部职工开 展党史学习教育 10 次，分类组织全区镇（街道）、学校团干部、少队辅导员及全体西部计划志愿者集中开展党史学习教育 8 次，提升团队干部理论水平和执行力。 </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（三）筑牢青少年意识形态阵地。坚持将“青年大学习” 作为青年思想政治教育的主要载体，积极组织全区团员团干参与，保持每期参学比率 98%左右，参学人数 3600 人以上；组织少先队员开展“红领巾爱学习”网上主题队课，在沙湾团区委微信公众号上推发党史百年天天读，切实引导青少年听党话、跟党走。</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 xml:space="preserve">（四）青年宣讲分团扬帆起航。组建一支以团委班子成员、 乡镇及学校团干和郭沫若故居解说为主的新时代文明实践青年宣讲分团，积极学习宣讲习近平总书记“七一”重要讲话精神和十九届六中全会精神，已开展 15 场宣讲，参加人数 3500余人。组织 15 名少先队员在郭沫若故居开展“党的故事我来讲-争做红领巾讲解员”志愿服务活动。 </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（五）强化榜样引领作用。五四期间表扬区级优秀团员 12 名，优秀团干部 13 名，优秀基层团组织 11 个，优秀青年志愿者 97 名，1 名优秀团员，1 名优秀团干部，3 个优秀团组织获得市级表扬。六一期间开展“红领巾奖章”评选活动，评选区级“红领巾奖章”二星章优秀少先大队 7 个，优秀少先中队 24 个及优秀少先队员 100 名，其中 2 个优秀少先大队，8 个优秀 少先中队及 20 名优秀少先队员被评为市级“红领巾奖章”三星章。</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bookmarkStart w:id="50" w:name="_Toc17153"/>
      <w:r>
        <w:rPr>
          <w:rFonts w:hint="eastAsia" w:ascii="仿宋" w:hAnsi="仿宋" w:eastAsia="仿宋" w:cs="Times New Roman"/>
          <w:color w:val="auto"/>
          <w:sz w:val="32"/>
          <w:szCs w:val="32"/>
          <w:highlight w:val="none"/>
          <w:lang w:val="en-US" w:eastAsia="zh-CN"/>
        </w:rPr>
        <w:t>二、以百日攻坚为目标，夯实团的工作根基</w:t>
      </w:r>
      <w:bookmarkEnd w:id="50"/>
      <w:r>
        <w:rPr>
          <w:rFonts w:hint="eastAsia" w:ascii="仿宋" w:hAnsi="仿宋" w:eastAsia="仿宋" w:cs="Times New Roman"/>
          <w:color w:val="auto"/>
          <w:sz w:val="32"/>
          <w:szCs w:val="32"/>
          <w:highlight w:val="none"/>
          <w:lang w:val="en-US" w:eastAsia="zh-CN"/>
        </w:rPr>
        <w:t xml:space="preserve"> </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（一）规范基础团组织运行。对标党建抓团建，建立全区 团组织基本信息台账，组织和带领全区 9 个镇（街道）、92 个村（社区）完成团组织换届选举工作，顺利选举产生了结构更加合理、综合素质更强、开拓能力更佳的新一届团组织领导班子。按照“先大后小、先易后难”原则，将“两新”团组织建设有序推进，现已新建农业园区团组织 9 个、小区团支部 3 个、非公团组织 14 个，以团组织阵地为载体，开展团组织活动、志愿服务和青年活动 100 余次，服务青年 1.6 万余人。在乐山市团系统学习贯彻习近平总书记“七一”重要讲话精神理论读书班上作工作经验交流发言。</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二）规范团员少先队员发展。认真执行发展团员指导计划，合理下发新发展团员指导数，统一全区各学校及社会领域入团流程，规范《入团志愿书》和团员证填写，开展入团工作专项检查，严把发展团员“入口关”，全年发展团员 356 人，从团员中推优入党 26 人。推动少先队改革，落实少工委“双主任”制，全面实施分批入队，建立健全覆盖队前教育、队中培养、团队衔接的阶梯式成长激励体系，持续激发少先队员光荣感。</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bookmarkStart w:id="51" w:name="_Toc16420"/>
      <w:r>
        <w:rPr>
          <w:rFonts w:hint="eastAsia" w:ascii="仿宋" w:hAnsi="仿宋" w:eastAsia="仿宋" w:cs="Times New Roman"/>
          <w:color w:val="auto"/>
          <w:sz w:val="32"/>
          <w:szCs w:val="32"/>
          <w:highlight w:val="none"/>
          <w:lang w:val="en-US" w:eastAsia="zh-CN"/>
        </w:rPr>
        <w:t>三、以中心工作为重点，突显服务大局成效</w:t>
      </w:r>
      <w:bookmarkEnd w:id="51"/>
      <w:r>
        <w:rPr>
          <w:rFonts w:hint="eastAsia" w:ascii="仿宋" w:hAnsi="仿宋" w:eastAsia="仿宋" w:cs="Times New Roman"/>
          <w:color w:val="auto"/>
          <w:sz w:val="32"/>
          <w:szCs w:val="32"/>
          <w:highlight w:val="none"/>
          <w:lang w:val="en-US" w:eastAsia="zh-CN"/>
        </w:rPr>
        <w:t xml:space="preserve"> </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 xml:space="preserve">（一）志愿服务体系不断完善。依托沙湾区沫若青年志愿 者协会，以“我为群众办实事 文明实践志愿行”为主题，培育一批接地气、聚人气的新时代文明实践志愿服务项目，以团员、团干、返乡大学生和区委党校递进班学员为主体，建成疫情防控、礼仪、应急救援、墙绘、旅游、情景助教 6 个志愿服务队,建立青年之家 7 个，“志愿四川”注册志愿者 4800 余人，组织开展活动 200 余次，服务人数 33000 余人次，服务时长23930 个小时。在“中秋”“国庆”双节旅游保障工作中表现突出，受到区委、区政府表扬。 </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 xml:space="preserve">（二）扎实推进“双报到”工作。组织团区委全体党员走 进余溪社区与社区党员共同开展主题党日活动 2 次；以需求为导向，完成服务事项 4 件。 </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（三）助力城乡基层治理。为 30 个党组织，600 余党员开展现场党性教育，承办沙湾区“四史挑战赛”；创作墙绘作品50 余幅，改造面积 600 余平方米。暑期招募 19 名“逐梦计划”大学生到机关和村（社区）助力基层治理和乡村振兴。常态化开展“河小青”志愿活动，广泛动员青少年积极参与“五清”行动。铜河街道观峨社区被团省委定为“社区青春行动”试点社区。</w:t>
      </w:r>
    </w:p>
    <w:p>
      <w:pPr>
        <w:numPr>
          <w:ilvl w:val="0"/>
          <w:numId w:val="0"/>
        </w:numPr>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 xml:space="preserve">（四）践行“我为群众办实事”。2021 年共办实事 11 件。童伴计划累计开展活动 70 余次，累计服务 2610 余人次，2021年新增童伴之家 1 个,1 人被团省委评为 2021 年度优秀“童伴妈妈”。2021 年暑期对接成都信息工程大学小红花支教队 14 名大学生，在葫芦镇和轸溪镇开展了为期 1 周的“七彩假期”活动，服务留守儿童 70 余人。持续开展疫情防控志愿活动， 寒暑期组织 120 余名返乡大学生到沫若戏剧文创园、超市等公共场合进行疫情防控宣传，服务人次 20000 余人；长期有 10 余名志愿者在区人民医院参与核酸检测服务。邀请省青基会来沙湾调研，申请捐款项目 2 项。在“99 公益日”众筹项目“青少年生命教育计划”中共筹得款项 45103.2 元，着力解决青少年心理健康问题，福禄小学获得了 5.75 万元 NBA 关怀行动篮球基金。沙湾区被团市委选定为青少年心理健康教育试点地区，沫若中学、踏水镇初级中学被团省委、省教育厅选定为“四川省青少年生命教育计划”试点学校（乐山仅两所）。开展“青春聚力，‘照’亮乡村”公益摄影志愿服务活动，全覆盖为 9 镇（街道）捐赠防疫消毒物资 139 箱，共拍摄 13216 人，免费赠送 90 岁以上老人相框 528 人，捐赠物资价值超过 40 万元。 </w:t>
      </w:r>
    </w:p>
    <w:p>
      <w:pPr>
        <w:widowControl w:val="0"/>
        <w:numPr>
          <w:ilvl w:val="0"/>
          <w:numId w:val="0"/>
        </w:numPr>
        <w:adjustRightInd w:val="0"/>
        <w:snapToGrid w:val="0"/>
        <w:spacing w:before="93" w:beforeLines="30" w:line="600" w:lineRule="exact"/>
        <w:ind w:firstLine="640" w:firstLineChars="200"/>
        <w:jc w:val="both"/>
        <w:outlineLvl w:val="9"/>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color w:val="auto"/>
          <w:sz w:val="32"/>
          <w:szCs w:val="32"/>
          <w:highlight w:val="none"/>
          <w:lang w:val="en-US" w:eastAsia="zh-CN"/>
        </w:rPr>
        <w:t>（五）做好青年发展统筹协调工作。召开沙湾区实施《四川省中长期青年发展规划（2017-2025 年）》工作联席会议第三次全体会议暨工作推进会，确定了 45 个方面共计 107 条青年工作要点。建立志愿服务、创业就业和文艺体育三大类团属社会组织，提高青年服务针对性。细化西部计划志愿者管理措施，落实西部计划志愿者相关待遇，常态开展重要节日慰问、生日慰问，提升志愿者福利，增强志愿者服务热情和归属感</w:t>
      </w:r>
      <w:r>
        <w:rPr>
          <w:rFonts w:hint="eastAsia" w:ascii="仿宋" w:hAnsi="仿宋" w:eastAsia="仿宋" w:cs="Times New Roman"/>
          <w:bCs/>
          <w:color w:val="000000"/>
          <w:kern w:val="0"/>
          <w:sz w:val="32"/>
          <w:szCs w:val="32"/>
          <w:lang w:val="en-US" w:eastAsia="zh-CN" w:bidi="ar-SA"/>
        </w:rPr>
        <w:t>。</w:t>
      </w:r>
    </w:p>
    <w:p>
      <w:pPr>
        <w:pStyle w:val="5"/>
        <w:rPr>
          <w:rStyle w:val="38"/>
          <w:rFonts w:hint="eastAsia" w:ascii="黑体" w:hAnsi="黑体" w:eastAsia="黑体"/>
          <w:b w:val="0"/>
          <w:bCs w:val="0"/>
          <w:color w:val="auto"/>
          <w:highlight w:val="none"/>
        </w:rPr>
      </w:pPr>
      <w:bookmarkStart w:id="52" w:name="_Toc15377200"/>
      <w:bookmarkStart w:id="53" w:name="_Toc29102"/>
      <w:bookmarkStart w:id="54" w:name="_Toc15396601"/>
      <w:bookmarkStart w:id="55" w:name="_Toc15396602"/>
      <w:bookmarkStart w:id="56" w:name="_Toc15377204"/>
      <w:r>
        <w:rPr>
          <w:rStyle w:val="38"/>
          <w:rFonts w:hint="eastAsia" w:ascii="黑体" w:hAnsi="黑体" w:eastAsia="黑体"/>
          <w:b w:val="0"/>
          <w:bCs w:val="0"/>
          <w:color w:val="auto"/>
          <w:highlight w:val="none"/>
        </w:rPr>
        <w:t>二、机构设置</w:t>
      </w:r>
      <w:bookmarkEnd w:id="52"/>
      <w:bookmarkEnd w:id="53"/>
      <w:bookmarkEnd w:id="54"/>
    </w:p>
    <w:p>
      <w:pPr>
        <w:spacing w:line="60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中共青年团乐山市沙湾区委员会下属二级单位2个，其中行政单位1个，参照公务员法管理的事业单位0个，其他事业单位1个。</w:t>
      </w:r>
    </w:p>
    <w:p>
      <w:pPr>
        <w:pStyle w:val="9"/>
        <w:adjustRightInd w:val="0"/>
        <w:snapToGrid w:val="0"/>
        <w:spacing w:before="93" w:line="600" w:lineRule="exact"/>
        <w:ind w:firstLine="672" w:firstLineChars="210"/>
        <w:rPr>
          <w:rFonts w:hint="eastAsia" w:ascii="仿宋" w:hAnsi="仿宋" w:eastAsia="仿宋"/>
          <w:sz w:val="32"/>
          <w:szCs w:val="32"/>
        </w:rPr>
      </w:pPr>
      <w:r>
        <w:rPr>
          <w:rFonts w:hint="eastAsia" w:ascii="仿宋" w:hAnsi="仿宋" w:eastAsia="仿宋"/>
          <w:color w:val="auto"/>
          <w:sz w:val="32"/>
          <w:szCs w:val="32"/>
          <w:highlight w:val="none"/>
          <w:lang w:val="en-US" w:eastAsia="zh-CN"/>
        </w:rPr>
        <w:t>纳入中共青年团乐山市沙湾区委员会2021年度部门决算编制范围的二级预算单位</w:t>
      </w:r>
      <w:r>
        <w:rPr>
          <w:rFonts w:hint="eastAsia" w:ascii="仿宋" w:hAnsi="仿宋" w:eastAsia="仿宋"/>
          <w:sz w:val="32"/>
          <w:szCs w:val="32"/>
        </w:rPr>
        <w:t>包括</w:t>
      </w:r>
    </w:p>
    <w:p>
      <w:pPr>
        <w:pStyle w:val="9"/>
        <w:numPr>
          <w:ilvl w:val="0"/>
          <w:numId w:val="3"/>
        </w:numPr>
        <w:adjustRightInd w:val="0"/>
        <w:snapToGrid w:val="0"/>
        <w:spacing w:before="93" w:line="600" w:lineRule="exact"/>
        <w:ind w:firstLine="672" w:firstLineChars="21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中共青年团乐山市沙湾区委员会</w:t>
      </w:r>
    </w:p>
    <w:p>
      <w:pPr>
        <w:pStyle w:val="9"/>
        <w:numPr>
          <w:ilvl w:val="0"/>
          <w:numId w:val="3"/>
        </w:numPr>
        <w:adjustRightInd w:val="0"/>
        <w:snapToGrid w:val="0"/>
        <w:spacing w:before="93" w:line="600" w:lineRule="exact"/>
        <w:ind w:firstLine="672" w:firstLineChars="210"/>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zh-CN"/>
        </w:rPr>
        <w:t>乐山市沙湾区青少年宫</w:t>
      </w:r>
    </w:p>
    <w:p>
      <w:pPr>
        <w:pStyle w:val="4"/>
        <w:ind w:right="440"/>
        <w:jc w:val="center"/>
        <w:rPr>
          <w:rStyle w:val="37"/>
          <w:rFonts w:ascii="黑体" w:hAnsi="黑体" w:eastAsia="黑体"/>
          <w:b w:val="0"/>
          <w:bCs/>
          <w:color w:val="auto"/>
          <w:highlight w:val="none"/>
        </w:rPr>
      </w:pPr>
      <w:bookmarkStart w:id="57" w:name="_Toc9489"/>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2021年度</w:t>
      </w:r>
      <w:r>
        <w:rPr>
          <w:rStyle w:val="37"/>
          <w:rFonts w:hint="eastAsia" w:ascii="黑体" w:hAnsi="黑体" w:eastAsia="黑体"/>
          <w:b w:val="0"/>
          <w:bCs/>
          <w:color w:val="auto"/>
          <w:highlight w:val="none"/>
          <w:lang w:eastAsia="zh-CN"/>
        </w:rPr>
        <w:t>单位</w:t>
      </w:r>
      <w:r>
        <w:rPr>
          <w:rStyle w:val="37"/>
          <w:rFonts w:hint="eastAsia" w:ascii="黑体" w:hAnsi="黑体" w:eastAsia="黑体"/>
          <w:b w:val="0"/>
          <w:bCs/>
          <w:color w:val="auto"/>
          <w:highlight w:val="none"/>
        </w:rPr>
        <w:t>决算情况说明</w:t>
      </w:r>
      <w:bookmarkEnd w:id="55"/>
      <w:bookmarkEnd w:id="56"/>
      <w:bookmarkEnd w:id="57"/>
    </w:p>
    <w:p>
      <w:pPr>
        <w:pStyle w:val="36"/>
        <w:numPr>
          <w:ilvl w:val="0"/>
          <w:numId w:val="4"/>
        </w:numPr>
        <w:spacing w:line="600" w:lineRule="exact"/>
        <w:ind w:firstLineChars="0"/>
        <w:outlineLvl w:val="1"/>
        <w:rPr>
          <w:rStyle w:val="38"/>
          <w:rFonts w:ascii="黑体" w:hAnsi="黑体" w:eastAsia="黑体"/>
          <w:b w:val="0"/>
          <w:color w:val="auto"/>
          <w:highlight w:val="none"/>
        </w:rPr>
      </w:pPr>
      <w:bookmarkStart w:id="58" w:name="_Toc15396603"/>
      <w:bookmarkStart w:id="59" w:name="_Toc15377205"/>
      <w:bookmarkStart w:id="60" w:name="_Toc1851"/>
      <w:bookmarkStart w:id="61" w:name="_Toc25332"/>
      <w:bookmarkStart w:id="62" w:name="_Toc2516"/>
      <w:bookmarkStart w:id="63" w:name="_Toc15377226"/>
      <w:r>
        <w:rPr>
          <w:rFonts w:hint="eastAsia" w:ascii="黑体" w:hAnsi="黑体" w:eastAsia="黑体"/>
          <w:color w:val="auto"/>
          <w:sz w:val="32"/>
          <w:szCs w:val="32"/>
          <w:highlight w:val="none"/>
        </w:rPr>
        <w:t>收</w:t>
      </w:r>
      <w:r>
        <w:rPr>
          <w:rStyle w:val="38"/>
          <w:rFonts w:hint="eastAsia" w:ascii="黑体" w:hAnsi="黑体" w:eastAsia="黑体"/>
          <w:b w:val="0"/>
          <w:color w:val="auto"/>
          <w:highlight w:val="none"/>
        </w:rPr>
        <w:t>入支出决算总体情况说明</w:t>
      </w:r>
      <w:bookmarkEnd w:id="58"/>
      <w:bookmarkEnd w:id="59"/>
      <w:bookmarkEnd w:id="60"/>
      <w:bookmarkEnd w:id="61"/>
      <w:bookmarkEnd w:id="62"/>
    </w:p>
    <w:p>
      <w:pPr>
        <w:spacing w:line="60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年度收入总计</w:t>
      </w:r>
      <w:r>
        <w:rPr>
          <w:rFonts w:hint="eastAsia" w:ascii="仿宋" w:hAnsi="仿宋" w:eastAsia="仿宋"/>
          <w:color w:val="auto"/>
          <w:sz w:val="32"/>
          <w:szCs w:val="32"/>
          <w:highlight w:val="none"/>
          <w:lang w:val="en-US" w:eastAsia="zh-CN"/>
        </w:rPr>
        <w:t>246.23</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246.23</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年相比，收入总计</w:t>
      </w:r>
      <w:r>
        <w:rPr>
          <w:rFonts w:hint="eastAsia" w:ascii="仿宋" w:hAnsi="仿宋" w:eastAsia="仿宋"/>
          <w:color w:val="auto"/>
          <w:sz w:val="32"/>
          <w:szCs w:val="32"/>
          <w:highlight w:val="none"/>
          <w:lang w:val="en-US" w:eastAsia="zh-CN"/>
        </w:rPr>
        <w:t>减少21.79</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下降8.13</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减少21.79</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下降8.13</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本年工作项目减少、无基金收入。</w:t>
      </w:r>
    </w:p>
    <w:p>
      <w:pPr>
        <w:pStyle w:val="8"/>
        <w:jc w:val="center"/>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2" name="图表 2" descr="7b0a202020202263686172745265734964223a2022323034373131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w:t>
      </w:r>
    </w:p>
    <w:p>
      <w:pPr>
        <w:pStyle w:val="8"/>
      </w:pPr>
    </w:p>
    <w:p>
      <w:pPr>
        <w:pStyle w:val="36"/>
        <w:numPr>
          <w:ilvl w:val="0"/>
          <w:numId w:val="4"/>
        </w:numPr>
        <w:spacing w:line="600" w:lineRule="exact"/>
        <w:ind w:firstLineChars="0"/>
        <w:outlineLvl w:val="1"/>
        <w:rPr>
          <w:rStyle w:val="38"/>
          <w:rFonts w:ascii="黑体" w:hAnsi="黑体" w:eastAsia="黑体"/>
          <w:b w:val="0"/>
          <w:color w:val="auto"/>
          <w:highlight w:val="none"/>
        </w:rPr>
      </w:pPr>
      <w:bookmarkStart w:id="64" w:name="_Toc15396604"/>
      <w:bookmarkStart w:id="65" w:name="_Toc15377206"/>
      <w:bookmarkStart w:id="66" w:name="_Toc23740"/>
      <w:bookmarkStart w:id="67" w:name="_Toc27955"/>
      <w:bookmarkStart w:id="68" w:name="_Toc26547"/>
      <w:r>
        <w:rPr>
          <w:rFonts w:hint="eastAsia" w:ascii="黑体" w:hAnsi="黑体" w:eastAsia="黑体"/>
          <w:color w:val="auto"/>
          <w:sz w:val="32"/>
          <w:szCs w:val="32"/>
          <w:highlight w:val="none"/>
        </w:rPr>
        <w:t>收</w:t>
      </w:r>
      <w:r>
        <w:rPr>
          <w:rStyle w:val="38"/>
          <w:rFonts w:hint="eastAsia" w:ascii="黑体" w:hAnsi="黑体" w:eastAsia="黑体"/>
          <w:b w:val="0"/>
          <w:color w:val="auto"/>
          <w:highlight w:val="none"/>
        </w:rPr>
        <w:t>入决算情况说明</w:t>
      </w:r>
      <w:bookmarkEnd w:id="64"/>
      <w:bookmarkEnd w:id="65"/>
      <w:bookmarkEnd w:id="66"/>
      <w:bookmarkEnd w:id="67"/>
      <w:bookmarkEnd w:id="68"/>
    </w:p>
    <w:p>
      <w:pPr>
        <w:spacing w:line="600" w:lineRule="exact"/>
        <w:ind w:firstLine="640" w:firstLineChars="200"/>
        <w:outlineLvl w:val="1"/>
        <w:rPr>
          <w:rFonts w:ascii="仿宋" w:hAnsi="仿宋" w:eastAsia="仿宋"/>
          <w:color w:val="auto"/>
          <w:sz w:val="32"/>
          <w:szCs w:val="32"/>
          <w:highlight w:val="none"/>
        </w:rPr>
      </w:pPr>
      <w:bookmarkStart w:id="69" w:name="_Toc23881"/>
      <w:bookmarkStart w:id="70" w:name="_Toc6085"/>
      <w:bookmarkStart w:id="71" w:name="_Toc10437"/>
      <w:bookmarkStart w:id="72" w:name="_Toc20176"/>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242.68</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242.68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100.00</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69"/>
      <w:bookmarkEnd w:id="70"/>
      <w:bookmarkEnd w:id="71"/>
      <w:bookmarkEnd w:id="72"/>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outlineLvl w:val="9"/>
        <w:rPr>
          <w:rFonts w:hint="eastAsia"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080000" cy="4195445"/>
            <wp:effectExtent l="4445" t="4445" r="20955" b="10160"/>
            <wp:docPr id="3" name="图表 3"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图2：收入决算结构图</w:t>
      </w:r>
    </w:p>
    <w:p>
      <w:pPr>
        <w:pStyle w:val="8"/>
      </w:pPr>
    </w:p>
    <w:p>
      <w:pPr>
        <w:pStyle w:val="36"/>
        <w:numPr>
          <w:ilvl w:val="0"/>
          <w:numId w:val="4"/>
        </w:numPr>
        <w:spacing w:line="600" w:lineRule="exact"/>
        <w:ind w:firstLineChars="0"/>
        <w:outlineLvl w:val="1"/>
        <w:rPr>
          <w:rStyle w:val="38"/>
          <w:rFonts w:ascii="黑体" w:hAnsi="黑体" w:eastAsia="黑体"/>
          <w:b w:val="0"/>
          <w:color w:val="auto"/>
          <w:highlight w:val="none"/>
        </w:rPr>
      </w:pPr>
      <w:bookmarkStart w:id="73" w:name="_Toc18635"/>
      <w:bookmarkStart w:id="74" w:name="_Toc15396605"/>
      <w:bookmarkStart w:id="75" w:name="_Toc15377207"/>
      <w:bookmarkStart w:id="76" w:name="_Toc16315"/>
      <w:bookmarkStart w:id="77" w:name="_Toc26557"/>
      <w:r>
        <w:rPr>
          <w:rFonts w:hint="eastAsia" w:ascii="黑体" w:hAnsi="黑体" w:eastAsia="黑体"/>
          <w:color w:val="auto"/>
          <w:sz w:val="32"/>
          <w:szCs w:val="32"/>
          <w:highlight w:val="none"/>
        </w:rPr>
        <w:t>支</w:t>
      </w:r>
      <w:r>
        <w:rPr>
          <w:rStyle w:val="38"/>
          <w:rFonts w:hint="eastAsia" w:ascii="黑体" w:hAnsi="黑体" w:eastAsia="黑体"/>
          <w:b w:val="0"/>
          <w:color w:val="auto"/>
          <w:highlight w:val="none"/>
        </w:rPr>
        <w:t>出决算情况说明</w:t>
      </w:r>
      <w:bookmarkEnd w:id="73"/>
      <w:bookmarkEnd w:id="74"/>
      <w:bookmarkEnd w:id="75"/>
      <w:bookmarkEnd w:id="76"/>
      <w:bookmarkEnd w:id="77"/>
    </w:p>
    <w:p>
      <w:pPr>
        <w:spacing w:line="600" w:lineRule="exact"/>
        <w:ind w:firstLine="640" w:firstLineChars="200"/>
        <w:outlineLvl w:val="1"/>
        <w:rPr>
          <w:rFonts w:ascii="仿宋" w:hAnsi="仿宋" w:eastAsia="仿宋"/>
          <w:color w:val="auto"/>
          <w:sz w:val="32"/>
          <w:szCs w:val="32"/>
          <w:highlight w:val="none"/>
        </w:rPr>
      </w:pPr>
      <w:bookmarkStart w:id="78" w:name="_Toc4341"/>
      <w:bookmarkStart w:id="79" w:name="_Toc21528"/>
      <w:bookmarkStart w:id="80" w:name="_Toc219"/>
      <w:bookmarkStart w:id="81" w:name="_Toc26868"/>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245.57</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187.95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76.54</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57.62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23.46</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78"/>
      <w:bookmarkEnd w:id="79"/>
      <w:bookmarkEnd w:id="80"/>
      <w:bookmarkEnd w:id="81"/>
    </w:p>
    <w:p>
      <w:pPr>
        <w:keepNext w:val="0"/>
        <w:keepLines w:val="0"/>
        <w:pageBreakBefore w:val="0"/>
        <w:widowControl w:val="0"/>
        <w:kinsoku/>
        <w:wordWrap/>
        <w:overflowPunct/>
        <w:topLinePunct w:val="0"/>
        <w:autoSpaceDE/>
        <w:autoSpaceDN/>
        <w:bidi w:val="0"/>
        <w:adjustRightInd/>
        <w:snapToGrid/>
        <w:spacing w:line="240" w:lineRule="auto"/>
        <w:ind w:firstLine="641"/>
        <w:jc w:val="center"/>
        <w:textAlignment w:val="auto"/>
        <w:rPr>
          <w:rFonts w:ascii="仿宋" w:hAnsi="仿宋" w:eastAsia="仿宋"/>
          <w:color w:val="auto"/>
          <w:sz w:val="32"/>
          <w:szCs w:val="32"/>
          <w:highlight w:val="none"/>
          <w:shd w:val="pct10" w:color="auto" w:fill="FFFFFF"/>
        </w:rPr>
      </w:pPr>
      <w:r>
        <w:rPr>
          <w:rFonts w:hint="eastAsia" w:ascii="仿宋" w:hAnsi="仿宋" w:eastAsia="仿宋"/>
          <w:color w:val="auto"/>
          <w:sz w:val="32"/>
          <w:szCs w:val="32"/>
          <w:highlight w:val="none"/>
          <w:lang w:eastAsia="zh-CN"/>
        </w:rPr>
        <w:drawing>
          <wp:inline distT="0" distB="0" distL="114300" distR="114300">
            <wp:extent cx="4975225" cy="3799840"/>
            <wp:effectExtent l="4445" t="4445" r="11430" b="5715"/>
            <wp:docPr id="5" name="图表 5"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图3：支出决算结构图</w:t>
      </w:r>
    </w:p>
    <w:p>
      <w:pPr>
        <w:pStyle w:val="8"/>
      </w:pPr>
    </w:p>
    <w:p>
      <w:pPr>
        <w:spacing w:line="600" w:lineRule="exact"/>
        <w:ind w:firstLine="640" w:firstLineChars="200"/>
        <w:outlineLvl w:val="1"/>
        <w:rPr>
          <w:rStyle w:val="38"/>
          <w:rFonts w:ascii="黑体" w:hAnsi="黑体" w:eastAsia="黑体"/>
          <w:b w:val="0"/>
          <w:color w:val="auto"/>
          <w:highlight w:val="none"/>
        </w:rPr>
      </w:pPr>
      <w:bookmarkStart w:id="82" w:name="_Toc15377208"/>
      <w:bookmarkStart w:id="83" w:name="_Toc24005"/>
      <w:bookmarkStart w:id="84" w:name="_Toc7800"/>
      <w:bookmarkStart w:id="85" w:name="_Toc27633"/>
      <w:bookmarkStart w:id="86" w:name="_Toc15396606"/>
      <w:r>
        <w:rPr>
          <w:rFonts w:hint="eastAsia" w:ascii="黑体" w:hAnsi="黑体" w:eastAsia="黑体"/>
          <w:color w:val="auto"/>
          <w:sz w:val="32"/>
          <w:szCs w:val="32"/>
          <w:highlight w:val="none"/>
        </w:rPr>
        <w:t>四、财</w:t>
      </w:r>
      <w:r>
        <w:rPr>
          <w:rStyle w:val="38"/>
          <w:rFonts w:hint="eastAsia" w:ascii="黑体" w:hAnsi="黑体" w:eastAsia="黑体"/>
          <w:b w:val="0"/>
          <w:color w:val="auto"/>
          <w:highlight w:val="none"/>
        </w:rPr>
        <w:t>政拨款收入支出决算总体情况说明</w:t>
      </w:r>
      <w:bookmarkEnd w:id="82"/>
      <w:bookmarkEnd w:id="83"/>
      <w:bookmarkEnd w:id="84"/>
      <w:bookmarkEnd w:id="85"/>
      <w:bookmarkEnd w:id="86"/>
    </w:p>
    <w:p>
      <w:pPr>
        <w:spacing w:line="60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202</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年财政拨款收入总计</w:t>
      </w:r>
      <w:r>
        <w:rPr>
          <w:rFonts w:hint="eastAsia" w:ascii="仿宋" w:hAnsi="仿宋" w:eastAsia="仿宋"/>
          <w:color w:val="auto"/>
          <w:sz w:val="32"/>
          <w:szCs w:val="32"/>
          <w:highlight w:val="none"/>
          <w:lang w:val="en-US" w:eastAsia="zh-CN"/>
        </w:rPr>
        <w:t>246.23</w:t>
      </w:r>
      <w:r>
        <w:rPr>
          <w:rFonts w:hint="eastAsia" w:ascii="仿宋" w:hAnsi="仿宋" w:eastAsia="仿宋"/>
          <w:color w:val="auto"/>
          <w:sz w:val="32"/>
          <w:szCs w:val="32"/>
          <w:highlight w:val="none"/>
        </w:rPr>
        <w:t>万元、支出总计</w:t>
      </w:r>
      <w:r>
        <w:rPr>
          <w:rFonts w:hint="eastAsia" w:ascii="仿宋" w:hAnsi="仿宋" w:eastAsia="仿宋"/>
          <w:color w:val="auto"/>
          <w:sz w:val="32"/>
          <w:szCs w:val="32"/>
          <w:highlight w:val="none"/>
          <w:lang w:val="en-US" w:eastAsia="zh-CN"/>
        </w:rPr>
        <w:t>246.23</w:t>
      </w:r>
      <w:r>
        <w:rPr>
          <w:rFonts w:hint="eastAsia" w:ascii="仿宋" w:hAnsi="仿宋" w:eastAsia="仿宋"/>
          <w:color w:val="auto"/>
          <w:sz w:val="32"/>
          <w:szCs w:val="32"/>
          <w:highlight w:val="none"/>
        </w:rPr>
        <w:t>万元。与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年相比，收入总计</w:t>
      </w:r>
      <w:r>
        <w:rPr>
          <w:rFonts w:hint="eastAsia" w:ascii="仿宋" w:hAnsi="仿宋" w:eastAsia="仿宋"/>
          <w:color w:val="auto"/>
          <w:sz w:val="32"/>
          <w:szCs w:val="32"/>
          <w:highlight w:val="none"/>
          <w:lang w:val="en-US" w:eastAsia="zh-CN"/>
        </w:rPr>
        <w:t>减少21.79</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下降8.13</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减少21.79</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下降8.13</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本年工作项目减少、无基金收入。</w:t>
      </w:r>
    </w:p>
    <w:p>
      <w:pPr>
        <w:spacing w:line="600" w:lineRule="exact"/>
        <w:ind w:firstLine="640"/>
        <w:rPr>
          <w:rFonts w:ascii="仿宋" w:hAnsi="仿宋" w:eastAsia="仿宋"/>
          <w:b/>
          <w:color w:val="FF0000"/>
          <w:sz w:val="32"/>
          <w:szCs w:val="32"/>
          <w:highlight w:val="none"/>
        </w:rPr>
      </w:pPr>
      <w:r>
        <w:rPr>
          <w:rFonts w:hint="eastAsia" w:ascii="仿宋" w:hAnsi="仿宋" w:eastAsia="仿宋"/>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olor w:val="auto"/>
          <w:sz w:val="32"/>
          <w:szCs w:val="32"/>
          <w:highlight w:val="none"/>
        </w:rPr>
      </w:pPr>
      <w:r>
        <w:rPr>
          <w:rFonts w:hint="eastAsia" w:eastAsia="宋体"/>
          <w:lang w:eastAsia="zh-CN"/>
        </w:rPr>
        <w:drawing>
          <wp:inline distT="0" distB="0" distL="114300" distR="114300">
            <wp:extent cx="5080000" cy="3810000"/>
            <wp:effectExtent l="4445" t="4445" r="20955" b="14605"/>
            <wp:docPr id="6" name="图表 6" descr="7b0a202020202263686172745265734964223a2022323034373131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spacing w:line="600" w:lineRule="exact"/>
        <w:ind w:firstLine="640"/>
        <w:rPr>
          <w:rFonts w:ascii="仿宋" w:hAnsi="仿宋" w:eastAsia="仿宋"/>
          <w:b/>
          <w:color w:val="auto"/>
          <w:sz w:val="32"/>
          <w:szCs w:val="32"/>
          <w:highlight w:val="none"/>
        </w:rPr>
      </w:pPr>
    </w:p>
    <w:p>
      <w:pPr>
        <w:spacing w:line="600" w:lineRule="exact"/>
        <w:ind w:firstLine="640" w:firstLineChars="200"/>
        <w:outlineLvl w:val="1"/>
        <w:rPr>
          <w:rStyle w:val="38"/>
          <w:rFonts w:ascii="黑体" w:hAnsi="黑体" w:eastAsia="黑体"/>
          <w:b w:val="0"/>
          <w:color w:val="auto"/>
          <w:highlight w:val="none"/>
        </w:rPr>
      </w:pPr>
      <w:bookmarkStart w:id="87" w:name="_Toc15377209"/>
      <w:bookmarkStart w:id="88" w:name="_Toc15396607"/>
      <w:bookmarkStart w:id="89" w:name="_Toc17290"/>
      <w:bookmarkStart w:id="90" w:name="_Toc7387"/>
      <w:bookmarkStart w:id="91" w:name="_Toc4717"/>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38"/>
          <w:rFonts w:hint="eastAsia" w:ascii="黑体" w:hAnsi="黑体" w:eastAsia="黑体"/>
          <w:b w:val="0"/>
          <w:color w:val="auto"/>
          <w:highlight w:val="none"/>
        </w:rPr>
        <w:t>般公共预算财政拨款支出决算情况说明</w:t>
      </w:r>
      <w:bookmarkEnd w:id="87"/>
      <w:bookmarkEnd w:id="88"/>
      <w:bookmarkEnd w:id="89"/>
      <w:bookmarkEnd w:id="90"/>
      <w:bookmarkEnd w:id="91"/>
    </w:p>
    <w:p>
      <w:pPr>
        <w:spacing w:line="600" w:lineRule="exact"/>
        <w:ind w:firstLine="643" w:firstLineChars="200"/>
        <w:outlineLvl w:val="2"/>
        <w:rPr>
          <w:rFonts w:ascii="仿宋" w:hAnsi="仿宋" w:eastAsia="仿宋"/>
          <w:b/>
          <w:color w:val="auto"/>
          <w:sz w:val="32"/>
          <w:szCs w:val="32"/>
          <w:highlight w:val="none"/>
        </w:rPr>
      </w:pPr>
      <w:bookmarkStart w:id="92" w:name="_Toc15377210"/>
      <w:r>
        <w:rPr>
          <w:rFonts w:hint="eastAsia" w:ascii="仿宋" w:hAnsi="仿宋" w:eastAsia="仿宋"/>
          <w:b/>
          <w:color w:val="auto"/>
          <w:sz w:val="32"/>
          <w:szCs w:val="32"/>
          <w:highlight w:val="none"/>
        </w:rPr>
        <w:t>（一）一般公共预算财政拨款支出决算总体情况</w:t>
      </w:r>
      <w:bookmarkEnd w:id="92"/>
    </w:p>
    <w:p>
      <w:pPr>
        <w:spacing w:line="600" w:lineRule="exact"/>
        <w:ind w:firstLine="640" w:firstLineChars="200"/>
        <w:rPr>
          <w:rFonts w:hint="eastAsia" w:ascii="仿宋" w:hAnsi="仿宋" w:eastAsia="仿宋"/>
          <w:color w:val="auto"/>
          <w:sz w:val="32"/>
          <w:szCs w:val="32"/>
          <w:highlight w:val="none"/>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245.57</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100.00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hint="eastAsia" w:ascii="仿宋" w:hAnsi="仿宋" w:eastAsia="仿宋"/>
          <w:color w:val="auto"/>
          <w:sz w:val="32"/>
          <w:szCs w:val="32"/>
          <w:highlight w:val="none"/>
          <w:lang w:val="en-US" w:eastAsia="zh-CN"/>
        </w:rPr>
        <w:t>2020</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减少2.69</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下降1.08</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本年工作项目减少、无基金收入。</w:t>
      </w:r>
    </w:p>
    <w:p>
      <w:pPr>
        <w:spacing w:line="600" w:lineRule="exact"/>
        <w:ind w:firstLine="640" w:firstLineChars="200"/>
        <w:rPr>
          <w:rFonts w:hint="eastAsia" w:ascii="仿宋" w:hAnsi="仿宋" w:eastAsia="仿宋"/>
          <w:color w:val="auto"/>
          <w:sz w:val="32"/>
          <w:szCs w:val="32"/>
          <w:highlight w:val="none"/>
        </w:rPr>
      </w:pPr>
    </w:p>
    <w:p>
      <w:pPr>
        <w:pStyle w:val="8"/>
        <w:jc w:val="center"/>
      </w:pPr>
      <w:r>
        <w:rPr>
          <w:rFonts w:hint="eastAsia" w:eastAsia="宋体"/>
          <w:lang w:eastAsia="zh-CN"/>
        </w:rPr>
        <w:drawing>
          <wp:inline distT="0" distB="0" distL="114300" distR="114300">
            <wp:extent cx="5080000" cy="3810000"/>
            <wp:effectExtent l="4445" t="4445" r="20955" b="14605"/>
            <wp:docPr id="7" name="图表 7" descr="7b0a202020202263686172745265734964223a2022323034373131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w:t>
      </w:r>
    </w:p>
    <w:p>
      <w:pPr>
        <w:pStyle w:val="8"/>
      </w:pPr>
    </w:p>
    <w:p>
      <w:pPr>
        <w:spacing w:line="600" w:lineRule="exact"/>
        <w:ind w:firstLine="643" w:firstLineChars="200"/>
        <w:outlineLvl w:val="2"/>
        <w:rPr>
          <w:rFonts w:ascii="仿宋" w:hAnsi="仿宋" w:eastAsia="仿宋"/>
          <w:b/>
          <w:color w:val="auto"/>
          <w:sz w:val="32"/>
          <w:szCs w:val="32"/>
          <w:highlight w:val="none"/>
        </w:rPr>
      </w:pPr>
      <w:bookmarkStart w:id="93" w:name="_Toc15377211"/>
      <w:r>
        <w:rPr>
          <w:rFonts w:hint="eastAsia" w:ascii="仿宋" w:hAnsi="仿宋" w:eastAsia="仿宋"/>
          <w:b/>
          <w:color w:val="auto"/>
          <w:sz w:val="32"/>
          <w:szCs w:val="32"/>
          <w:highlight w:val="none"/>
        </w:rPr>
        <w:t>（二）一般公共预算财政拨款支出决算结构情况</w:t>
      </w:r>
      <w:bookmarkEnd w:id="93"/>
    </w:p>
    <w:p>
      <w:pPr>
        <w:spacing w:line="600" w:lineRule="exact"/>
        <w:ind w:firstLine="640"/>
        <w:rPr>
          <w:rFonts w:hint="default" w:ascii="仿宋" w:hAnsi="仿宋" w:eastAsia="仿宋"/>
          <w:b/>
          <w:color w:val="auto"/>
          <w:sz w:val="32"/>
          <w:szCs w:val="32"/>
          <w:highlight w:val="none"/>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245.57</w:t>
      </w:r>
      <w:r>
        <w:rPr>
          <w:rFonts w:hint="eastAsia" w:ascii="仿宋" w:hAnsi="仿宋" w:eastAsia="仿宋"/>
          <w:color w:val="auto"/>
          <w:sz w:val="32"/>
          <w:szCs w:val="32"/>
          <w:highlight w:val="none"/>
        </w:rPr>
        <w:t>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一般公共服务支出（类）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157.78</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占64.25%；</w:t>
      </w:r>
      <w:r>
        <w:rPr>
          <w:rFonts w:hint="eastAsia" w:ascii="仿宋" w:hAnsi="仿宋" w:eastAsia="仿宋"/>
          <w:b/>
          <w:color w:val="auto"/>
          <w:sz w:val="32"/>
          <w:szCs w:val="32"/>
          <w:highlight w:val="none"/>
        </w:rPr>
        <w:t>社会保障和就业支出（类）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42.33</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占17.24%；</w:t>
      </w:r>
      <w:r>
        <w:rPr>
          <w:rFonts w:hint="eastAsia" w:ascii="仿宋" w:hAnsi="仿宋" w:eastAsia="仿宋"/>
          <w:b/>
          <w:bCs/>
          <w:color w:val="auto"/>
          <w:sz w:val="32"/>
          <w:szCs w:val="32"/>
          <w:highlight w:val="none"/>
          <w:lang w:val="en-US" w:eastAsia="zh-CN"/>
        </w:rPr>
        <w:t>卫生健康支出</w:t>
      </w:r>
      <w:r>
        <w:rPr>
          <w:rFonts w:hint="eastAsia" w:ascii="仿宋" w:hAnsi="仿宋" w:eastAsia="仿宋"/>
          <w:b/>
          <w:color w:val="auto"/>
          <w:sz w:val="32"/>
          <w:szCs w:val="32"/>
          <w:highlight w:val="none"/>
        </w:rPr>
        <w:t>（类）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4.30</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占1.75%；</w:t>
      </w:r>
      <w:r>
        <w:rPr>
          <w:rFonts w:hint="eastAsia" w:ascii="仿宋" w:hAnsi="仿宋" w:eastAsia="仿宋"/>
          <w:b/>
          <w:color w:val="auto"/>
          <w:sz w:val="32"/>
          <w:szCs w:val="32"/>
          <w:highlight w:val="none"/>
        </w:rPr>
        <w:t>农林水支出（类）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28.92</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占11.78%；</w:t>
      </w:r>
      <w:r>
        <w:rPr>
          <w:rFonts w:hint="eastAsia" w:ascii="仿宋" w:hAnsi="仿宋" w:eastAsia="仿宋"/>
          <w:b/>
          <w:color w:val="auto"/>
          <w:sz w:val="32"/>
          <w:szCs w:val="32"/>
          <w:highlight w:val="none"/>
        </w:rPr>
        <w:t>住房保障支出（类）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12.23</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占4.98%。</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747385" cy="3982720"/>
            <wp:effectExtent l="4445" t="4445" r="20320" b="13335"/>
            <wp:docPr id="8" name="图表 8"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94" w:name="_Toc15377212"/>
      <w:r>
        <w:rPr>
          <w:rFonts w:hint="eastAsia" w:ascii="仿宋" w:hAnsi="仿宋" w:eastAsia="仿宋"/>
          <w:b/>
          <w:color w:val="auto"/>
          <w:sz w:val="32"/>
          <w:szCs w:val="32"/>
          <w:highlight w:val="none"/>
        </w:rPr>
        <w:t>（三）一般公共预算财政拨款支出决算具体情况</w:t>
      </w:r>
      <w:bookmarkEnd w:id="94"/>
    </w:p>
    <w:p>
      <w:pPr>
        <w:spacing w:line="600" w:lineRule="exact"/>
        <w:ind w:firstLine="643" w:firstLineChars="200"/>
        <w:outlineLvl w:val="2"/>
        <w:rPr>
          <w:rFonts w:ascii="仿宋" w:hAnsi="仿宋" w:eastAsia="仿宋"/>
          <w:color w:val="auto"/>
          <w:sz w:val="32"/>
          <w:szCs w:val="32"/>
          <w:highlight w:val="none"/>
        </w:rPr>
      </w:pPr>
      <w:bookmarkStart w:id="95" w:name="_Toc15377444"/>
      <w:bookmarkStart w:id="96" w:name="_Toc15377213"/>
      <w:bookmarkStart w:id="97" w:name="_Toc15378460"/>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21</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cs="Times New Roman"/>
          <w:color w:val="auto"/>
          <w:sz w:val="32"/>
          <w:szCs w:val="32"/>
          <w:lang w:val="en-US" w:eastAsia="zh-CN"/>
        </w:rPr>
        <w:t>245.57</w:t>
      </w:r>
      <w:r>
        <w:rPr>
          <w:rFonts w:hint="eastAsia" w:ascii="仿宋" w:hAnsi="仿宋" w:eastAsia="仿宋"/>
          <w:color w:val="auto"/>
          <w:sz w:val="32"/>
          <w:szCs w:val="32"/>
          <w:highlight w:val="none"/>
          <w:lang w:val="en-US" w:eastAsia="zh-CN"/>
        </w:rPr>
        <w:t>万元</w:t>
      </w:r>
      <w:r>
        <w:rPr>
          <w:rFonts w:hint="eastAsia" w:ascii="仿宋" w:hAnsi="仿宋" w:eastAsia="仿宋"/>
          <w:color w:val="auto"/>
          <w:sz w:val="32"/>
          <w:szCs w:val="32"/>
          <w:highlight w:val="none"/>
        </w:rPr>
        <w:t>，</w:t>
      </w:r>
      <w:r>
        <w:rPr>
          <w:rStyle w:val="25"/>
          <w:rFonts w:hint="eastAsia" w:ascii="仿宋" w:hAnsi="仿宋" w:eastAsia="仿宋"/>
          <w:bCs/>
          <w:color w:val="auto"/>
          <w:sz w:val="32"/>
          <w:szCs w:val="32"/>
          <w:highlight w:val="none"/>
        </w:rPr>
        <w:t>完成预算</w:t>
      </w:r>
      <w:r>
        <w:rPr>
          <w:rStyle w:val="25"/>
          <w:rFonts w:hint="eastAsia" w:ascii="仿宋" w:hAnsi="仿宋" w:eastAsia="仿宋"/>
          <w:bCs/>
          <w:color w:val="auto"/>
          <w:sz w:val="32"/>
          <w:szCs w:val="32"/>
          <w:highlight w:val="none"/>
          <w:lang w:val="en-US" w:eastAsia="zh-CN"/>
        </w:rPr>
        <w:t>100.00</w:t>
      </w:r>
      <w:r>
        <w:rPr>
          <w:rStyle w:val="25"/>
          <w:rFonts w:ascii="仿宋" w:hAnsi="仿宋" w:eastAsia="仿宋"/>
          <w:bCs/>
          <w:color w:val="auto"/>
          <w:sz w:val="32"/>
          <w:szCs w:val="32"/>
          <w:highlight w:val="none"/>
        </w:rPr>
        <w:t>%</w:t>
      </w:r>
      <w:r>
        <w:rPr>
          <w:rStyle w:val="25"/>
          <w:rFonts w:hint="eastAsia" w:ascii="仿宋" w:hAnsi="仿宋" w:eastAsia="仿宋"/>
          <w:bCs/>
          <w:color w:val="auto"/>
          <w:sz w:val="32"/>
          <w:szCs w:val="32"/>
          <w:highlight w:val="none"/>
        </w:rPr>
        <w:t>。其中：</w:t>
      </w:r>
      <w:bookmarkEnd w:id="95"/>
      <w:bookmarkEnd w:id="96"/>
      <w:bookmarkEnd w:id="97"/>
    </w:p>
    <w:p>
      <w:pPr>
        <w:numPr>
          <w:ilvl w:val="0"/>
          <w:numId w:val="5"/>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一般公共服务支出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201</w:t>
      </w:r>
      <w:r>
        <w:rPr>
          <w:rFonts w:hint="eastAsia" w:ascii="仿宋" w:hAnsi="仿宋" w:eastAsia="仿宋"/>
          <w:b/>
          <w:bCs w:val="0"/>
          <w:color w:val="auto"/>
          <w:sz w:val="32"/>
          <w:szCs w:val="32"/>
          <w:lang w:eastAsia="zh-CN"/>
        </w:rPr>
        <w:t>）群众团体事务（</w:t>
      </w:r>
      <w:r>
        <w:rPr>
          <w:rFonts w:hint="eastAsia" w:ascii="仿宋" w:hAnsi="仿宋" w:eastAsia="仿宋"/>
          <w:b/>
          <w:bCs w:val="0"/>
          <w:color w:val="auto"/>
          <w:sz w:val="32"/>
          <w:szCs w:val="32"/>
          <w:lang w:val="en-US" w:eastAsia="zh-CN"/>
        </w:rPr>
        <w:t>29</w:t>
      </w:r>
      <w:r>
        <w:rPr>
          <w:rFonts w:hint="eastAsia" w:ascii="仿宋" w:hAnsi="仿宋" w:eastAsia="仿宋"/>
          <w:b/>
          <w:bCs w:val="0"/>
          <w:color w:val="auto"/>
          <w:sz w:val="32"/>
          <w:szCs w:val="32"/>
          <w:lang w:eastAsia="zh-CN"/>
        </w:rPr>
        <w:t>）行政运行（</w:t>
      </w:r>
      <w:r>
        <w:rPr>
          <w:rFonts w:hint="eastAsia" w:ascii="仿宋" w:hAnsi="仿宋" w:eastAsia="仿宋"/>
          <w:b/>
          <w:bCs w:val="0"/>
          <w:color w:val="auto"/>
          <w:sz w:val="32"/>
          <w:szCs w:val="32"/>
          <w:lang w:val="en-US" w:eastAsia="zh-CN"/>
        </w:rPr>
        <w:t>01</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32.86</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5"/>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一般公共服务支出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201</w:t>
      </w:r>
      <w:r>
        <w:rPr>
          <w:rFonts w:hint="eastAsia" w:ascii="仿宋" w:hAnsi="仿宋" w:eastAsia="仿宋"/>
          <w:b/>
          <w:bCs w:val="0"/>
          <w:color w:val="auto"/>
          <w:sz w:val="32"/>
          <w:szCs w:val="32"/>
          <w:lang w:eastAsia="zh-CN"/>
        </w:rPr>
        <w:t>）群众团体事务（</w:t>
      </w:r>
      <w:r>
        <w:rPr>
          <w:rFonts w:hint="eastAsia" w:ascii="仿宋" w:hAnsi="仿宋" w:eastAsia="仿宋"/>
          <w:b/>
          <w:bCs w:val="0"/>
          <w:color w:val="auto"/>
          <w:sz w:val="32"/>
          <w:szCs w:val="32"/>
          <w:lang w:val="en-US" w:eastAsia="zh-CN"/>
        </w:rPr>
        <w:t>29</w:t>
      </w:r>
      <w:r>
        <w:rPr>
          <w:rFonts w:hint="eastAsia" w:ascii="仿宋" w:hAnsi="仿宋" w:eastAsia="仿宋"/>
          <w:b/>
          <w:bCs w:val="0"/>
          <w:color w:val="auto"/>
          <w:sz w:val="32"/>
          <w:szCs w:val="32"/>
          <w:lang w:eastAsia="zh-CN"/>
        </w:rPr>
        <w:t>）一般行政管理事务（</w:t>
      </w:r>
      <w:r>
        <w:rPr>
          <w:rFonts w:hint="eastAsia" w:ascii="仿宋" w:hAnsi="仿宋" w:eastAsia="仿宋"/>
          <w:b/>
          <w:bCs w:val="0"/>
          <w:color w:val="auto"/>
          <w:sz w:val="32"/>
          <w:szCs w:val="32"/>
          <w:lang w:val="en-US" w:eastAsia="zh-CN"/>
        </w:rPr>
        <w:t>02</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46.44</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5"/>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一般公共服务支出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201</w:t>
      </w:r>
      <w:r>
        <w:rPr>
          <w:rFonts w:hint="eastAsia" w:ascii="仿宋" w:hAnsi="仿宋" w:eastAsia="仿宋"/>
          <w:b/>
          <w:bCs w:val="0"/>
          <w:color w:val="auto"/>
          <w:sz w:val="32"/>
          <w:szCs w:val="32"/>
          <w:lang w:eastAsia="zh-CN"/>
        </w:rPr>
        <w:t>）群众团体事务（</w:t>
      </w:r>
      <w:r>
        <w:rPr>
          <w:rFonts w:hint="eastAsia" w:ascii="仿宋" w:hAnsi="仿宋" w:eastAsia="仿宋"/>
          <w:b/>
          <w:bCs w:val="0"/>
          <w:color w:val="auto"/>
          <w:sz w:val="32"/>
          <w:szCs w:val="32"/>
          <w:lang w:val="en-US" w:eastAsia="zh-CN"/>
        </w:rPr>
        <w:t>29</w:t>
      </w:r>
      <w:r>
        <w:rPr>
          <w:rFonts w:hint="eastAsia" w:ascii="仿宋" w:hAnsi="仿宋" w:eastAsia="仿宋"/>
          <w:b/>
          <w:bCs w:val="0"/>
          <w:color w:val="auto"/>
          <w:sz w:val="32"/>
          <w:szCs w:val="32"/>
          <w:lang w:eastAsia="zh-CN"/>
        </w:rPr>
        <w:t>）工会事务（</w:t>
      </w:r>
      <w:r>
        <w:rPr>
          <w:rFonts w:hint="eastAsia" w:ascii="仿宋" w:hAnsi="仿宋" w:eastAsia="仿宋"/>
          <w:b/>
          <w:bCs w:val="0"/>
          <w:color w:val="auto"/>
          <w:sz w:val="32"/>
          <w:szCs w:val="32"/>
          <w:lang w:val="en-US" w:eastAsia="zh-CN"/>
        </w:rPr>
        <w:t>06</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0.64</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5"/>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一般公共服务支出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201</w:t>
      </w:r>
      <w:r>
        <w:rPr>
          <w:rFonts w:hint="eastAsia" w:ascii="仿宋" w:hAnsi="仿宋" w:eastAsia="仿宋"/>
          <w:b/>
          <w:bCs w:val="0"/>
          <w:color w:val="auto"/>
          <w:sz w:val="32"/>
          <w:szCs w:val="32"/>
          <w:lang w:eastAsia="zh-CN"/>
        </w:rPr>
        <w:t>）群众团体事务（</w:t>
      </w:r>
      <w:r>
        <w:rPr>
          <w:rFonts w:hint="eastAsia" w:ascii="仿宋" w:hAnsi="仿宋" w:eastAsia="仿宋"/>
          <w:b/>
          <w:bCs w:val="0"/>
          <w:color w:val="auto"/>
          <w:sz w:val="32"/>
          <w:szCs w:val="32"/>
          <w:lang w:val="en-US" w:eastAsia="zh-CN"/>
        </w:rPr>
        <w:t>29</w:t>
      </w:r>
      <w:r>
        <w:rPr>
          <w:rFonts w:hint="eastAsia" w:ascii="仿宋" w:hAnsi="仿宋" w:eastAsia="仿宋"/>
          <w:b/>
          <w:bCs w:val="0"/>
          <w:color w:val="auto"/>
          <w:sz w:val="32"/>
          <w:szCs w:val="32"/>
          <w:lang w:eastAsia="zh-CN"/>
        </w:rPr>
        <w:t>）事业运行（</w:t>
      </w:r>
      <w:r>
        <w:rPr>
          <w:rFonts w:hint="eastAsia" w:ascii="仿宋" w:hAnsi="仿宋" w:eastAsia="仿宋"/>
          <w:b/>
          <w:bCs w:val="0"/>
          <w:color w:val="auto"/>
          <w:sz w:val="32"/>
          <w:szCs w:val="32"/>
          <w:lang w:val="en-US" w:eastAsia="zh-CN"/>
        </w:rPr>
        <w:t>50</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66.41</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5"/>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一般公共服务支出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201</w:t>
      </w:r>
      <w:r>
        <w:rPr>
          <w:rFonts w:hint="eastAsia" w:ascii="仿宋" w:hAnsi="仿宋" w:eastAsia="仿宋"/>
          <w:b/>
          <w:bCs w:val="0"/>
          <w:color w:val="auto"/>
          <w:sz w:val="32"/>
          <w:szCs w:val="32"/>
          <w:lang w:eastAsia="zh-CN"/>
        </w:rPr>
        <w:t>）群众团体事务（</w:t>
      </w:r>
      <w:r>
        <w:rPr>
          <w:rFonts w:hint="eastAsia" w:ascii="仿宋" w:hAnsi="仿宋" w:eastAsia="仿宋"/>
          <w:b/>
          <w:bCs w:val="0"/>
          <w:color w:val="auto"/>
          <w:sz w:val="32"/>
          <w:szCs w:val="32"/>
          <w:lang w:val="en-US" w:eastAsia="zh-CN"/>
        </w:rPr>
        <w:t>29</w:t>
      </w:r>
      <w:r>
        <w:rPr>
          <w:rFonts w:hint="eastAsia" w:ascii="仿宋" w:hAnsi="仿宋" w:eastAsia="仿宋"/>
          <w:b/>
          <w:bCs w:val="0"/>
          <w:color w:val="auto"/>
          <w:sz w:val="32"/>
          <w:szCs w:val="32"/>
          <w:lang w:eastAsia="zh-CN"/>
        </w:rPr>
        <w:t>）其他群众团体事务支出（</w:t>
      </w:r>
      <w:r>
        <w:rPr>
          <w:rFonts w:hint="eastAsia" w:ascii="仿宋" w:hAnsi="仿宋" w:eastAsia="仿宋"/>
          <w:b/>
          <w:bCs w:val="0"/>
          <w:color w:val="auto"/>
          <w:sz w:val="32"/>
          <w:szCs w:val="32"/>
          <w:lang w:val="en-US" w:eastAsia="zh-CN"/>
        </w:rPr>
        <w:t>99</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11.43</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p>
    <w:p>
      <w:pPr>
        <w:numPr>
          <w:ilvl w:val="0"/>
          <w:numId w:val="5"/>
        </w:numPr>
        <w:spacing w:line="600" w:lineRule="exact"/>
        <w:ind w:left="-13" w:leftChars="0" w:firstLine="643" w:firstLineChars="0"/>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社会保障和就业支出（</w:t>
      </w:r>
      <w:r>
        <w:rPr>
          <w:rFonts w:hint="eastAsia" w:ascii="仿宋" w:hAnsi="仿宋" w:eastAsia="仿宋"/>
          <w:b/>
          <w:color w:val="auto"/>
          <w:sz w:val="32"/>
          <w:szCs w:val="32"/>
          <w:highlight w:val="none"/>
          <w:lang w:val="en-US" w:eastAsia="zh-CN"/>
        </w:rPr>
        <w:t>208</w:t>
      </w:r>
      <w:r>
        <w:rPr>
          <w:rFonts w:hint="eastAsia" w:ascii="仿宋" w:hAnsi="仿宋" w:eastAsia="仿宋"/>
          <w:b/>
          <w:color w:val="auto"/>
          <w:sz w:val="32"/>
          <w:szCs w:val="32"/>
          <w:highlight w:val="none"/>
          <w:lang w:eastAsia="zh-CN"/>
        </w:rPr>
        <w:t>）行政事业单位养老支出（</w:t>
      </w:r>
      <w:r>
        <w:rPr>
          <w:rFonts w:hint="eastAsia" w:ascii="仿宋" w:hAnsi="仿宋" w:eastAsia="仿宋"/>
          <w:b/>
          <w:color w:val="auto"/>
          <w:sz w:val="32"/>
          <w:szCs w:val="32"/>
          <w:highlight w:val="none"/>
          <w:lang w:val="en-US" w:eastAsia="zh-CN"/>
        </w:rPr>
        <w:t>05</w:t>
      </w:r>
      <w:r>
        <w:rPr>
          <w:rFonts w:hint="eastAsia" w:ascii="仿宋" w:hAnsi="仿宋" w:eastAsia="仿宋"/>
          <w:b/>
          <w:color w:val="auto"/>
          <w:sz w:val="32"/>
          <w:szCs w:val="32"/>
          <w:highlight w:val="none"/>
          <w:lang w:eastAsia="zh-CN"/>
        </w:rPr>
        <w:t>）事业单位离退休（</w:t>
      </w:r>
      <w:r>
        <w:rPr>
          <w:rFonts w:hint="eastAsia" w:ascii="仿宋" w:hAnsi="仿宋" w:eastAsia="仿宋"/>
          <w:b/>
          <w:color w:val="auto"/>
          <w:sz w:val="32"/>
          <w:szCs w:val="32"/>
          <w:highlight w:val="none"/>
          <w:lang w:val="en-US" w:eastAsia="zh-CN"/>
        </w:rPr>
        <w:t>02</w:t>
      </w:r>
      <w:r>
        <w:rPr>
          <w:rFonts w:hint="eastAsia" w:ascii="仿宋" w:hAnsi="仿宋" w:eastAsia="仿宋"/>
          <w:b/>
          <w:color w:val="auto"/>
          <w:sz w:val="32"/>
          <w:szCs w:val="32"/>
          <w:highlight w:val="none"/>
          <w:lang w:eastAsia="zh-CN"/>
        </w:rPr>
        <w:t>）：</w:t>
      </w:r>
      <w:r>
        <w:rPr>
          <w:rStyle w:val="25"/>
          <w:rFonts w:hint="eastAsia" w:ascii="仿宋" w:hAnsi="仿宋" w:eastAsia="仿宋"/>
          <w:b w:val="0"/>
          <w:bCs/>
          <w:color w:val="auto"/>
          <w:sz w:val="32"/>
          <w:szCs w:val="32"/>
          <w:lang w:val="en-US" w:eastAsia="zh-CN"/>
        </w:rPr>
        <w:t>支</w:t>
      </w:r>
      <w:r>
        <w:rPr>
          <w:rStyle w:val="25"/>
          <w:rFonts w:hint="eastAsia" w:ascii="仿宋" w:hAnsi="仿宋" w:eastAsia="仿宋"/>
          <w:b w:val="0"/>
          <w:bCs/>
          <w:color w:val="auto"/>
          <w:sz w:val="32"/>
          <w:szCs w:val="32"/>
        </w:rPr>
        <w:t>出决算为</w:t>
      </w:r>
      <w:r>
        <w:rPr>
          <w:rStyle w:val="25"/>
          <w:rFonts w:hint="eastAsia" w:ascii="仿宋" w:hAnsi="仿宋" w:eastAsia="仿宋"/>
          <w:b w:val="0"/>
          <w:bCs/>
          <w:color w:val="auto"/>
          <w:sz w:val="32"/>
          <w:szCs w:val="32"/>
          <w:lang w:val="en-US" w:eastAsia="zh-CN"/>
        </w:rPr>
        <w:t>2.25</w:t>
      </w:r>
      <w:r>
        <w:rPr>
          <w:rStyle w:val="25"/>
          <w:rFonts w:hint="eastAsia" w:ascii="仿宋" w:hAnsi="仿宋" w:eastAsia="仿宋"/>
          <w:b w:val="0"/>
          <w:bCs/>
          <w:color w:val="auto"/>
          <w:sz w:val="32"/>
          <w:szCs w:val="32"/>
        </w:rPr>
        <w:t>万元，完成预算</w:t>
      </w:r>
      <w:r>
        <w:rPr>
          <w:rStyle w:val="25"/>
          <w:rFonts w:hint="eastAsia" w:ascii="仿宋" w:hAnsi="仿宋" w:eastAsia="仿宋"/>
          <w:b w:val="0"/>
          <w:bCs/>
          <w:color w:val="auto"/>
          <w:sz w:val="32"/>
          <w:szCs w:val="32"/>
          <w:lang w:val="en-US" w:eastAsia="zh-CN"/>
        </w:rPr>
        <w:t>100.00</w:t>
      </w:r>
      <w:r>
        <w:rPr>
          <w:rStyle w:val="25"/>
          <w:rFonts w:hint="eastAsia" w:ascii="仿宋" w:hAnsi="仿宋" w:eastAsia="仿宋"/>
          <w:b w:val="0"/>
          <w:bCs/>
          <w:color w:val="auto"/>
          <w:sz w:val="32"/>
          <w:szCs w:val="32"/>
        </w:rPr>
        <w:t>%</w:t>
      </w:r>
      <w:r>
        <w:rPr>
          <w:rStyle w:val="25"/>
          <w:rFonts w:hint="eastAsia" w:ascii="仿宋" w:hAnsi="仿宋" w:eastAsia="仿宋"/>
          <w:b w:val="0"/>
          <w:bCs/>
          <w:color w:val="auto"/>
          <w:sz w:val="32"/>
          <w:szCs w:val="32"/>
          <w:lang w:eastAsia="zh-CN"/>
        </w:rPr>
        <w:t>。</w:t>
      </w:r>
    </w:p>
    <w:p>
      <w:pPr>
        <w:numPr>
          <w:ilvl w:val="0"/>
          <w:numId w:val="5"/>
        </w:numPr>
        <w:spacing w:line="600" w:lineRule="exact"/>
        <w:ind w:left="-13" w:leftChars="0" w:firstLine="643" w:firstLineChars="0"/>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社会保障和就业支出（</w:t>
      </w:r>
      <w:r>
        <w:rPr>
          <w:rFonts w:hint="eastAsia" w:ascii="仿宋" w:hAnsi="仿宋" w:eastAsia="仿宋"/>
          <w:b/>
          <w:color w:val="auto"/>
          <w:sz w:val="32"/>
          <w:szCs w:val="32"/>
          <w:highlight w:val="none"/>
          <w:lang w:val="en-US" w:eastAsia="zh-CN"/>
        </w:rPr>
        <w:t>208</w:t>
      </w:r>
      <w:r>
        <w:rPr>
          <w:rFonts w:hint="eastAsia" w:ascii="仿宋" w:hAnsi="仿宋" w:eastAsia="仿宋"/>
          <w:b/>
          <w:color w:val="auto"/>
          <w:sz w:val="32"/>
          <w:szCs w:val="32"/>
          <w:highlight w:val="none"/>
          <w:lang w:eastAsia="zh-CN"/>
        </w:rPr>
        <w:t>）行政事业单位养老支出（</w:t>
      </w:r>
      <w:r>
        <w:rPr>
          <w:rFonts w:hint="eastAsia" w:ascii="仿宋" w:hAnsi="仿宋" w:eastAsia="仿宋"/>
          <w:b/>
          <w:color w:val="auto"/>
          <w:sz w:val="32"/>
          <w:szCs w:val="32"/>
          <w:highlight w:val="none"/>
          <w:lang w:val="en-US" w:eastAsia="zh-CN"/>
        </w:rPr>
        <w:t>05</w:t>
      </w:r>
      <w:r>
        <w:rPr>
          <w:rFonts w:hint="eastAsia" w:ascii="仿宋" w:hAnsi="仿宋" w:eastAsia="仿宋"/>
          <w:b/>
          <w:color w:val="auto"/>
          <w:sz w:val="32"/>
          <w:szCs w:val="32"/>
          <w:highlight w:val="none"/>
          <w:lang w:eastAsia="zh-CN"/>
        </w:rPr>
        <w:t>）机关事业单位基本养老保险缴费支出（</w:t>
      </w:r>
      <w:r>
        <w:rPr>
          <w:rFonts w:hint="eastAsia" w:ascii="仿宋" w:hAnsi="仿宋" w:eastAsia="仿宋"/>
          <w:b/>
          <w:color w:val="auto"/>
          <w:sz w:val="32"/>
          <w:szCs w:val="32"/>
          <w:highlight w:val="none"/>
          <w:lang w:val="en-US" w:eastAsia="zh-CN"/>
        </w:rPr>
        <w:t>05</w:t>
      </w:r>
      <w:r>
        <w:rPr>
          <w:rFonts w:hint="eastAsia" w:ascii="仿宋" w:hAnsi="仿宋" w:eastAsia="仿宋"/>
          <w:b/>
          <w:color w:val="auto"/>
          <w:sz w:val="32"/>
          <w:szCs w:val="32"/>
          <w:highlight w:val="none"/>
          <w:lang w:eastAsia="zh-CN"/>
        </w:rPr>
        <w:t>）：</w:t>
      </w:r>
      <w:r>
        <w:rPr>
          <w:rStyle w:val="25"/>
          <w:rFonts w:hint="eastAsia" w:ascii="仿宋" w:hAnsi="仿宋" w:eastAsia="仿宋"/>
          <w:b w:val="0"/>
          <w:bCs/>
          <w:color w:val="auto"/>
          <w:sz w:val="32"/>
          <w:szCs w:val="32"/>
          <w:lang w:val="en-US" w:eastAsia="zh-CN"/>
        </w:rPr>
        <w:t>支</w:t>
      </w:r>
      <w:r>
        <w:rPr>
          <w:rStyle w:val="25"/>
          <w:rFonts w:hint="eastAsia" w:ascii="仿宋" w:hAnsi="仿宋" w:eastAsia="仿宋"/>
          <w:b w:val="0"/>
          <w:bCs/>
          <w:color w:val="auto"/>
          <w:sz w:val="32"/>
          <w:szCs w:val="32"/>
        </w:rPr>
        <w:t>出决算为</w:t>
      </w:r>
      <w:r>
        <w:rPr>
          <w:rStyle w:val="25"/>
          <w:rFonts w:hint="eastAsia" w:ascii="仿宋" w:hAnsi="仿宋" w:eastAsia="仿宋"/>
          <w:b w:val="0"/>
          <w:bCs/>
          <w:color w:val="auto"/>
          <w:sz w:val="32"/>
          <w:szCs w:val="32"/>
          <w:lang w:val="en-US" w:eastAsia="zh-CN"/>
        </w:rPr>
        <w:t>5.93</w:t>
      </w:r>
      <w:r>
        <w:rPr>
          <w:rStyle w:val="25"/>
          <w:rFonts w:hint="eastAsia" w:ascii="仿宋" w:hAnsi="仿宋" w:eastAsia="仿宋"/>
          <w:b w:val="0"/>
          <w:bCs/>
          <w:color w:val="auto"/>
          <w:sz w:val="32"/>
          <w:szCs w:val="32"/>
        </w:rPr>
        <w:t>万元，完成预算</w:t>
      </w:r>
      <w:r>
        <w:rPr>
          <w:rStyle w:val="25"/>
          <w:rFonts w:hint="eastAsia" w:ascii="仿宋" w:hAnsi="仿宋" w:eastAsia="仿宋"/>
          <w:b w:val="0"/>
          <w:bCs/>
          <w:color w:val="auto"/>
          <w:sz w:val="32"/>
          <w:szCs w:val="32"/>
          <w:lang w:val="en-US" w:eastAsia="zh-CN"/>
        </w:rPr>
        <w:t>100.00</w:t>
      </w:r>
      <w:r>
        <w:rPr>
          <w:rStyle w:val="25"/>
          <w:rFonts w:hint="eastAsia" w:ascii="仿宋" w:hAnsi="仿宋" w:eastAsia="仿宋"/>
          <w:b w:val="0"/>
          <w:bCs/>
          <w:color w:val="auto"/>
          <w:sz w:val="32"/>
          <w:szCs w:val="32"/>
        </w:rPr>
        <w:t>%</w:t>
      </w:r>
      <w:r>
        <w:rPr>
          <w:rStyle w:val="25"/>
          <w:rFonts w:hint="eastAsia" w:ascii="仿宋" w:hAnsi="仿宋" w:eastAsia="仿宋"/>
          <w:b w:val="0"/>
          <w:bCs/>
          <w:color w:val="auto"/>
          <w:sz w:val="32"/>
          <w:szCs w:val="32"/>
          <w:lang w:eastAsia="zh-CN"/>
        </w:rPr>
        <w:t>。</w:t>
      </w:r>
    </w:p>
    <w:p>
      <w:pPr>
        <w:numPr>
          <w:ilvl w:val="0"/>
          <w:numId w:val="5"/>
        </w:numPr>
        <w:spacing w:line="600" w:lineRule="exact"/>
        <w:ind w:left="-13" w:leftChars="0" w:firstLine="643" w:firstLineChars="0"/>
        <w:rPr>
          <w:rFonts w:hint="default" w:ascii="仿宋" w:hAnsi="仿宋" w:eastAsia="仿宋"/>
          <w:b/>
          <w:color w:val="auto"/>
          <w:sz w:val="32"/>
          <w:szCs w:val="32"/>
          <w:highlight w:val="none"/>
          <w:lang w:val="en-US"/>
        </w:rPr>
      </w:pPr>
      <w:r>
        <w:rPr>
          <w:rFonts w:hint="eastAsia" w:ascii="仿宋" w:hAnsi="仿宋" w:eastAsia="仿宋"/>
          <w:b/>
          <w:color w:val="auto"/>
          <w:sz w:val="32"/>
          <w:szCs w:val="32"/>
          <w:highlight w:val="none"/>
        </w:rPr>
        <w:t>社会保障和就业支出（</w:t>
      </w:r>
      <w:r>
        <w:rPr>
          <w:rFonts w:hint="eastAsia" w:ascii="仿宋" w:hAnsi="仿宋" w:eastAsia="仿宋"/>
          <w:b/>
          <w:color w:val="auto"/>
          <w:sz w:val="32"/>
          <w:szCs w:val="32"/>
          <w:highlight w:val="none"/>
          <w:lang w:val="en-US" w:eastAsia="zh-CN"/>
        </w:rPr>
        <w:t>208</w:t>
      </w:r>
      <w:r>
        <w:rPr>
          <w:rFonts w:hint="eastAsia" w:ascii="仿宋" w:hAnsi="仿宋" w:eastAsia="仿宋"/>
          <w:b/>
          <w:color w:val="auto"/>
          <w:sz w:val="32"/>
          <w:szCs w:val="32"/>
          <w:highlight w:val="none"/>
          <w:lang w:eastAsia="zh-CN"/>
        </w:rPr>
        <w:t>）其他社会保障和就业支出（</w:t>
      </w:r>
      <w:r>
        <w:rPr>
          <w:rFonts w:hint="eastAsia" w:ascii="仿宋" w:hAnsi="仿宋" w:eastAsia="仿宋"/>
          <w:b/>
          <w:color w:val="auto"/>
          <w:sz w:val="32"/>
          <w:szCs w:val="32"/>
          <w:highlight w:val="none"/>
          <w:lang w:val="en-US" w:eastAsia="zh-CN"/>
        </w:rPr>
        <w:t>99</w:t>
      </w:r>
      <w:r>
        <w:rPr>
          <w:rFonts w:hint="eastAsia" w:ascii="仿宋" w:hAnsi="仿宋" w:eastAsia="仿宋"/>
          <w:b/>
          <w:color w:val="auto"/>
          <w:sz w:val="32"/>
          <w:szCs w:val="32"/>
          <w:highlight w:val="none"/>
          <w:lang w:eastAsia="zh-CN"/>
        </w:rPr>
        <w:t>）其他社会保障和就业支出（</w:t>
      </w:r>
      <w:r>
        <w:rPr>
          <w:rFonts w:hint="eastAsia" w:ascii="仿宋" w:hAnsi="仿宋" w:eastAsia="仿宋"/>
          <w:b/>
          <w:color w:val="auto"/>
          <w:sz w:val="32"/>
          <w:szCs w:val="32"/>
          <w:highlight w:val="none"/>
          <w:lang w:val="en-US" w:eastAsia="zh-CN"/>
        </w:rPr>
        <w:t>99</w:t>
      </w:r>
      <w:r>
        <w:rPr>
          <w:rFonts w:hint="eastAsia" w:ascii="仿宋" w:hAnsi="仿宋" w:eastAsia="仿宋"/>
          <w:b/>
          <w:color w:val="auto"/>
          <w:sz w:val="32"/>
          <w:szCs w:val="32"/>
          <w:highlight w:val="none"/>
          <w:lang w:eastAsia="zh-CN"/>
        </w:rPr>
        <w:t>）：</w:t>
      </w:r>
      <w:r>
        <w:rPr>
          <w:rStyle w:val="25"/>
          <w:rFonts w:hint="eastAsia" w:ascii="仿宋" w:hAnsi="仿宋" w:eastAsia="仿宋"/>
          <w:b w:val="0"/>
          <w:bCs/>
          <w:color w:val="auto"/>
          <w:sz w:val="32"/>
          <w:szCs w:val="32"/>
          <w:lang w:val="en-US" w:eastAsia="zh-CN"/>
        </w:rPr>
        <w:t>支</w:t>
      </w:r>
      <w:r>
        <w:rPr>
          <w:rStyle w:val="25"/>
          <w:rFonts w:hint="eastAsia" w:ascii="仿宋" w:hAnsi="仿宋" w:eastAsia="仿宋"/>
          <w:b w:val="0"/>
          <w:bCs/>
          <w:color w:val="auto"/>
          <w:sz w:val="32"/>
          <w:szCs w:val="32"/>
        </w:rPr>
        <w:t>出决算为</w:t>
      </w:r>
      <w:r>
        <w:rPr>
          <w:rStyle w:val="25"/>
          <w:rFonts w:hint="eastAsia" w:ascii="仿宋" w:hAnsi="仿宋" w:eastAsia="仿宋"/>
          <w:b w:val="0"/>
          <w:bCs/>
          <w:color w:val="auto"/>
          <w:sz w:val="32"/>
          <w:szCs w:val="32"/>
          <w:lang w:val="en-US" w:eastAsia="zh-CN"/>
        </w:rPr>
        <w:t>34.15</w:t>
      </w:r>
      <w:r>
        <w:rPr>
          <w:rStyle w:val="25"/>
          <w:rFonts w:hint="eastAsia" w:ascii="仿宋" w:hAnsi="仿宋" w:eastAsia="仿宋"/>
          <w:b w:val="0"/>
          <w:bCs/>
          <w:color w:val="auto"/>
          <w:sz w:val="32"/>
          <w:szCs w:val="32"/>
        </w:rPr>
        <w:t>万元，完成预算</w:t>
      </w:r>
      <w:r>
        <w:rPr>
          <w:rStyle w:val="25"/>
          <w:rFonts w:hint="eastAsia" w:ascii="仿宋" w:hAnsi="仿宋" w:eastAsia="仿宋"/>
          <w:b w:val="0"/>
          <w:bCs/>
          <w:color w:val="auto"/>
          <w:sz w:val="32"/>
          <w:szCs w:val="32"/>
          <w:lang w:val="en-US" w:eastAsia="zh-CN"/>
        </w:rPr>
        <w:t>100.00</w:t>
      </w:r>
      <w:r>
        <w:rPr>
          <w:rStyle w:val="25"/>
          <w:rFonts w:hint="eastAsia" w:ascii="仿宋" w:hAnsi="仿宋" w:eastAsia="仿宋"/>
          <w:b w:val="0"/>
          <w:bCs/>
          <w:color w:val="auto"/>
          <w:sz w:val="32"/>
          <w:szCs w:val="32"/>
        </w:rPr>
        <w:t>%</w:t>
      </w:r>
    </w:p>
    <w:p>
      <w:pPr>
        <w:numPr>
          <w:ilvl w:val="0"/>
          <w:numId w:val="5"/>
        </w:numPr>
        <w:spacing w:line="600" w:lineRule="exact"/>
        <w:ind w:left="-13" w:leftChars="0" w:firstLine="643" w:firstLineChars="0"/>
        <w:rPr>
          <w:rFonts w:hint="eastAsia" w:ascii="仿宋" w:hAnsi="仿宋" w:eastAsia="仿宋"/>
          <w:b/>
          <w:color w:val="auto"/>
          <w:sz w:val="32"/>
          <w:szCs w:val="32"/>
          <w:highlight w:val="none"/>
        </w:rPr>
      </w:pPr>
      <w:r>
        <w:rPr>
          <w:rFonts w:hint="eastAsia" w:ascii="仿宋" w:hAnsi="仿宋" w:eastAsia="仿宋"/>
          <w:b/>
          <w:color w:val="auto"/>
          <w:sz w:val="32"/>
          <w:szCs w:val="32"/>
          <w:highlight w:val="none"/>
        </w:rPr>
        <w:t>卫生健康支出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）行政事业单位医疗（</w:t>
      </w:r>
      <w:r>
        <w:rPr>
          <w:rFonts w:hint="eastAsia" w:ascii="仿宋" w:hAnsi="仿宋" w:eastAsia="仿宋"/>
          <w:b/>
          <w:bCs w:val="0"/>
          <w:color w:val="auto"/>
          <w:sz w:val="32"/>
          <w:szCs w:val="32"/>
          <w:lang w:val="en-US" w:eastAsia="zh-CN"/>
        </w:rPr>
        <w:t>11</w:t>
      </w:r>
      <w:r>
        <w:rPr>
          <w:rFonts w:hint="eastAsia" w:ascii="仿宋" w:hAnsi="仿宋" w:eastAsia="仿宋"/>
          <w:b/>
          <w:bCs w:val="0"/>
          <w:color w:val="auto"/>
          <w:sz w:val="32"/>
          <w:szCs w:val="32"/>
          <w:lang w:eastAsia="zh-CN"/>
        </w:rPr>
        <w:t>）行政单位医</w:t>
      </w:r>
      <w:r>
        <w:rPr>
          <w:rFonts w:hint="eastAsia" w:ascii="仿宋" w:hAnsi="仿宋" w:eastAsia="仿宋"/>
          <w:b/>
          <w:color w:val="auto"/>
          <w:sz w:val="32"/>
          <w:szCs w:val="32"/>
          <w:highlight w:val="none"/>
          <w:lang w:eastAsia="zh-CN"/>
        </w:rPr>
        <w:t>疗（</w:t>
      </w:r>
      <w:r>
        <w:rPr>
          <w:rFonts w:hint="eastAsia" w:ascii="仿宋" w:hAnsi="仿宋" w:eastAsia="仿宋"/>
          <w:b/>
          <w:color w:val="auto"/>
          <w:sz w:val="32"/>
          <w:szCs w:val="32"/>
          <w:highlight w:val="none"/>
          <w:lang w:val="en-US" w:eastAsia="zh-CN"/>
        </w:rPr>
        <w:t>01</w:t>
      </w:r>
      <w:r>
        <w:rPr>
          <w:rFonts w:hint="eastAsia" w:ascii="仿宋" w:hAnsi="仿宋" w:eastAsia="仿宋"/>
          <w:b/>
          <w:color w:val="auto"/>
          <w:sz w:val="32"/>
          <w:szCs w:val="32"/>
          <w:highlight w:val="none"/>
          <w:lang w:eastAsia="zh-CN"/>
        </w:rPr>
        <w:t>）：</w:t>
      </w:r>
      <w:r>
        <w:rPr>
          <w:rStyle w:val="25"/>
          <w:rFonts w:hint="eastAsia" w:ascii="仿宋" w:hAnsi="仿宋" w:eastAsia="仿宋"/>
          <w:b w:val="0"/>
          <w:bCs/>
          <w:color w:val="auto"/>
          <w:sz w:val="32"/>
          <w:szCs w:val="32"/>
          <w:lang w:val="en-US" w:eastAsia="zh-CN"/>
        </w:rPr>
        <w:t>支出决算为2.53万元，完成预算100.00%。</w:t>
      </w:r>
    </w:p>
    <w:p>
      <w:pPr>
        <w:numPr>
          <w:ilvl w:val="0"/>
          <w:numId w:val="5"/>
        </w:numPr>
        <w:spacing w:line="600" w:lineRule="exact"/>
        <w:ind w:left="-13" w:leftChars="0" w:firstLine="643" w:firstLineChars="0"/>
        <w:rPr>
          <w:rFonts w:hint="eastAsia" w:ascii="仿宋" w:hAnsi="仿宋" w:eastAsia="仿宋"/>
          <w:b/>
          <w:color w:val="auto"/>
          <w:sz w:val="32"/>
          <w:szCs w:val="32"/>
          <w:highlight w:val="none"/>
        </w:rPr>
      </w:pPr>
      <w:r>
        <w:rPr>
          <w:rFonts w:hint="eastAsia" w:ascii="仿宋" w:hAnsi="仿宋" w:eastAsia="仿宋"/>
          <w:b/>
          <w:color w:val="auto"/>
          <w:sz w:val="32"/>
          <w:szCs w:val="32"/>
          <w:highlight w:val="none"/>
        </w:rPr>
        <w:t>卫生健康支出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）行政事业单位医疗（</w:t>
      </w:r>
      <w:r>
        <w:rPr>
          <w:rFonts w:hint="eastAsia" w:ascii="仿宋" w:hAnsi="仿宋" w:eastAsia="仿宋"/>
          <w:b/>
          <w:bCs w:val="0"/>
          <w:color w:val="auto"/>
          <w:sz w:val="32"/>
          <w:szCs w:val="32"/>
          <w:lang w:val="en-US" w:eastAsia="zh-CN"/>
        </w:rPr>
        <w:t>11</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事业</w:t>
      </w:r>
      <w:r>
        <w:rPr>
          <w:rFonts w:hint="eastAsia" w:ascii="仿宋" w:hAnsi="仿宋" w:eastAsia="仿宋"/>
          <w:b/>
          <w:bCs w:val="0"/>
          <w:color w:val="auto"/>
          <w:sz w:val="32"/>
          <w:szCs w:val="32"/>
          <w:lang w:eastAsia="zh-CN"/>
        </w:rPr>
        <w:t>单位医</w:t>
      </w:r>
      <w:r>
        <w:rPr>
          <w:rFonts w:hint="eastAsia" w:ascii="仿宋" w:hAnsi="仿宋" w:eastAsia="仿宋"/>
          <w:b/>
          <w:color w:val="auto"/>
          <w:sz w:val="32"/>
          <w:szCs w:val="32"/>
          <w:highlight w:val="none"/>
          <w:lang w:eastAsia="zh-CN"/>
        </w:rPr>
        <w:t>疗（</w:t>
      </w:r>
      <w:r>
        <w:rPr>
          <w:rFonts w:hint="eastAsia" w:ascii="仿宋" w:hAnsi="仿宋" w:eastAsia="仿宋"/>
          <w:b/>
          <w:color w:val="auto"/>
          <w:sz w:val="32"/>
          <w:szCs w:val="32"/>
          <w:highlight w:val="none"/>
          <w:lang w:val="en-US" w:eastAsia="zh-CN"/>
        </w:rPr>
        <w:t>02</w:t>
      </w:r>
      <w:r>
        <w:rPr>
          <w:rFonts w:hint="eastAsia" w:ascii="仿宋" w:hAnsi="仿宋" w:eastAsia="仿宋"/>
          <w:b/>
          <w:color w:val="auto"/>
          <w:sz w:val="32"/>
          <w:szCs w:val="32"/>
          <w:highlight w:val="none"/>
          <w:lang w:eastAsia="zh-CN"/>
        </w:rPr>
        <w:t>）：</w:t>
      </w:r>
      <w:r>
        <w:rPr>
          <w:rStyle w:val="25"/>
          <w:rFonts w:hint="eastAsia" w:ascii="仿宋" w:hAnsi="仿宋" w:eastAsia="仿宋"/>
          <w:b w:val="0"/>
          <w:bCs/>
          <w:color w:val="auto"/>
          <w:sz w:val="32"/>
          <w:szCs w:val="32"/>
          <w:lang w:val="en-US" w:eastAsia="zh-CN"/>
        </w:rPr>
        <w:t>支出决算为1.77万元，完成预算100.00%。</w:t>
      </w:r>
    </w:p>
    <w:p>
      <w:pPr>
        <w:numPr>
          <w:ilvl w:val="0"/>
          <w:numId w:val="5"/>
        </w:numPr>
        <w:spacing w:line="600" w:lineRule="exact"/>
        <w:ind w:left="-13" w:leftChars="0" w:firstLine="643" w:firstLineChars="0"/>
        <w:rPr>
          <w:rFonts w:hint="eastAsia" w:ascii="仿宋" w:hAnsi="仿宋" w:eastAsia="仿宋"/>
          <w:b/>
          <w:color w:val="auto"/>
          <w:sz w:val="32"/>
          <w:szCs w:val="32"/>
          <w:highlight w:val="none"/>
        </w:rPr>
      </w:pPr>
      <w:r>
        <w:rPr>
          <w:rFonts w:hint="eastAsia" w:ascii="仿宋" w:hAnsi="仿宋" w:eastAsia="仿宋"/>
          <w:b/>
          <w:color w:val="auto"/>
          <w:sz w:val="32"/>
          <w:szCs w:val="32"/>
          <w:highlight w:val="none"/>
          <w:lang w:val="en-US" w:eastAsia="zh-CN"/>
        </w:rPr>
        <w:t>农林水支出（213）农业农村（01）对高校毕业生到基层任职补助（52）：</w:t>
      </w:r>
      <w:r>
        <w:rPr>
          <w:rStyle w:val="25"/>
          <w:rFonts w:hint="eastAsia" w:ascii="仿宋" w:hAnsi="仿宋" w:eastAsia="仿宋" w:cs="Times New Roman"/>
          <w:b w:val="0"/>
          <w:bCs/>
          <w:color w:val="000000"/>
          <w:sz w:val="32"/>
          <w:szCs w:val="32"/>
          <w:lang w:val="en-US" w:eastAsia="zh-CN"/>
        </w:rPr>
        <w:t>支出决算为28.92万元，完成预算100.00%。</w:t>
      </w:r>
    </w:p>
    <w:p>
      <w:pPr>
        <w:numPr>
          <w:ilvl w:val="0"/>
          <w:numId w:val="5"/>
        </w:numPr>
        <w:spacing w:line="600" w:lineRule="exact"/>
        <w:ind w:left="-13" w:leftChars="0" w:firstLine="643" w:firstLineChars="0"/>
        <w:rPr>
          <w:rFonts w:hint="eastAsia" w:ascii="仿宋" w:hAnsi="仿宋" w:eastAsia="仿宋"/>
          <w:b/>
          <w:color w:val="auto"/>
          <w:sz w:val="32"/>
          <w:szCs w:val="32"/>
          <w:highlight w:val="none"/>
        </w:rPr>
      </w:pPr>
      <w:r>
        <w:rPr>
          <w:rFonts w:hint="eastAsia" w:ascii="仿宋" w:hAnsi="仿宋" w:eastAsia="仿宋" w:cs="Times New Roman"/>
          <w:b/>
          <w:color w:val="auto"/>
          <w:sz w:val="32"/>
          <w:szCs w:val="32"/>
          <w:highlight w:val="none"/>
        </w:rPr>
        <w:t>住房保障支出（</w:t>
      </w:r>
      <w:r>
        <w:rPr>
          <w:rFonts w:hint="eastAsia" w:ascii="仿宋" w:hAnsi="仿宋" w:eastAsia="仿宋" w:cs="Times New Roman"/>
          <w:b/>
          <w:color w:val="auto"/>
          <w:sz w:val="32"/>
          <w:szCs w:val="32"/>
          <w:highlight w:val="none"/>
          <w:lang w:val="en-US" w:eastAsia="zh-CN"/>
        </w:rPr>
        <w:t>221</w:t>
      </w:r>
      <w:r>
        <w:rPr>
          <w:rFonts w:hint="eastAsia" w:ascii="仿宋" w:hAnsi="仿宋" w:eastAsia="仿宋" w:cs="Times New Roman"/>
          <w:b/>
          <w:color w:val="auto"/>
          <w:sz w:val="32"/>
          <w:szCs w:val="32"/>
          <w:highlight w:val="none"/>
          <w:lang w:eastAsia="zh-CN"/>
        </w:rPr>
        <w:t>）住房改革支出（</w:t>
      </w:r>
      <w:r>
        <w:rPr>
          <w:rFonts w:hint="eastAsia" w:ascii="仿宋" w:hAnsi="仿宋" w:eastAsia="仿宋" w:cs="Times New Roman"/>
          <w:b/>
          <w:color w:val="auto"/>
          <w:sz w:val="32"/>
          <w:szCs w:val="32"/>
          <w:highlight w:val="none"/>
          <w:lang w:val="en-US" w:eastAsia="zh-CN"/>
        </w:rPr>
        <w:t>02</w:t>
      </w:r>
      <w:r>
        <w:rPr>
          <w:rFonts w:hint="eastAsia" w:ascii="仿宋" w:hAnsi="仿宋" w:eastAsia="仿宋" w:cs="Times New Roman"/>
          <w:b/>
          <w:color w:val="auto"/>
          <w:sz w:val="32"/>
          <w:szCs w:val="32"/>
          <w:highlight w:val="none"/>
          <w:lang w:eastAsia="zh-CN"/>
        </w:rPr>
        <w:t>） 住房公积金（</w:t>
      </w:r>
      <w:r>
        <w:rPr>
          <w:rFonts w:hint="eastAsia" w:ascii="仿宋" w:hAnsi="仿宋" w:eastAsia="仿宋" w:cs="Times New Roman"/>
          <w:b/>
          <w:color w:val="auto"/>
          <w:sz w:val="32"/>
          <w:szCs w:val="32"/>
          <w:highlight w:val="none"/>
          <w:lang w:val="en-US" w:eastAsia="zh-CN"/>
        </w:rPr>
        <w:t>01</w:t>
      </w:r>
      <w:r>
        <w:rPr>
          <w:rFonts w:hint="eastAsia" w:ascii="仿宋" w:hAnsi="仿宋" w:eastAsia="仿宋" w:cs="Times New Roman"/>
          <w:b/>
          <w:color w:val="auto"/>
          <w:sz w:val="32"/>
          <w:szCs w:val="32"/>
          <w:highlight w:val="none"/>
          <w:lang w:eastAsia="zh-CN"/>
        </w:rPr>
        <w:t>）：</w:t>
      </w:r>
      <w:r>
        <w:rPr>
          <w:rStyle w:val="25"/>
          <w:rFonts w:hint="eastAsia" w:ascii="仿宋" w:hAnsi="仿宋" w:eastAsia="仿宋" w:cs="Times New Roman"/>
          <w:b w:val="0"/>
          <w:bCs/>
          <w:color w:val="000000"/>
          <w:sz w:val="32"/>
          <w:szCs w:val="32"/>
        </w:rPr>
        <w:t>支出决算为</w:t>
      </w:r>
      <w:r>
        <w:rPr>
          <w:rStyle w:val="25"/>
          <w:rFonts w:hint="eastAsia" w:ascii="仿宋" w:hAnsi="仿宋" w:eastAsia="仿宋" w:cs="Times New Roman"/>
          <w:b w:val="0"/>
          <w:bCs/>
          <w:color w:val="000000"/>
          <w:sz w:val="32"/>
          <w:szCs w:val="32"/>
          <w:lang w:val="en-US" w:eastAsia="zh-CN"/>
        </w:rPr>
        <w:t>12.23</w:t>
      </w:r>
      <w:r>
        <w:rPr>
          <w:rStyle w:val="25"/>
          <w:rFonts w:hint="eastAsia" w:ascii="仿宋" w:hAnsi="仿宋" w:eastAsia="仿宋" w:cs="Times New Roman"/>
          <w:b w:val="0"/>
          <w:bCs/>
          <w:color w:val="000000"/>
          <w:sz w:val="32"/>
          <w:szCs w:val="32"/>
        </w:rPr>
        <w:t>万元，完成预算</w:t>
      </w:r>
      <w:r>
        <w:rPr>
          <w:rStyle w:val="25"/>
          <w:rFonts w:hint="eastAsia" w:ascii="仿宋" w:hAnsi="仿宋" w:eastAsia="仿宋" w:cs="Times New Roman"/>
          <w:b w:val="0"/>
          <w:bCs/>
          <w:color w:val="000000"/>
          <w:sz w:val="32"/>
          <w:szCs w:val="32"/>
          <w:lang w:val="en-US" w:eastAsia="zh-CN"/>
        </w:rPr>
        <w:t>100.00</w:t>
      </w:r>
      <w:r>
        <w:rPr>
          <w:rStyle w:val="25"/>
          <w:rFonts w:hint="eastAsia" w:ascii="仿宋" w:hAnsi="仿宋" w:eastAsia="仿宋" w:cs="Times New Roman"/>
          <w:b w:val="0"/>
          <w:bCs/>
          <w:color w:val="000000"/>
          <w:sz w:val="32"/>
          <w:szCs w:val="32"/>
        </w:rPr>
        <w:t>%</w:t>
      </w:r>
      <w:r>
        <w:rPr>
          <w:rStyle w:val="25"/>
          <w:rFonts w:hint="eastAsia" w:ascii="仿宋" w:hAnsi="仿宋" w:eastAsia="仿宋"/>
          <w:b w:val="0"/>
          <w:bCs/>
          <w:color w:val="auto"/>
          <w:sz w:val="32"/>
          <w:szCs w:val="32"/>
          <w:lang w:val="en-US" w:eastAsia="zh-CN"/>
        </w:rPr>
        <w:t>。</w:t>
      </w:r>
    </w:p>
    <w:p>
      <w:pPr>
        <w:tabs>
          <w:tab w:val="right" w:pos="8306"/>
        </w:tabs>
        <w:spacing w:line="600" w:lineRule="exact"/>
        <w:ind w:firstLine="640"/>
        <w:outlineLvl w:val="1"/>
        <w:rPr>
          <w:rStyle w:val="38"/>
          <w:color w:val="auto"/>
          <w:highlight w:val="none"/>
        </w:rPr>
      </w:pPr>
      <w:bookmarkStart w:id="98" w:name="_Toc1458"/>
      <w:bookmarkStart w:id="99" w:name="_Toc15377214"/>
      <w:bookmarkStart w:id="100" w:name="_Toc17796"/>
      <w:bookmarkStart w:id="101" w:name="_Toc25119"/>
      <w:bookmarkStart w:id="102" w:name="_Toc15396608"/>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38"/>
          <w:rFonts w:hint="eastAsia" w:ascii="黑体" w:hAnsi="黑体" w:eastAsia="黑体"/>
          <w:b w:val="0"/>
          <w:color w:val="auto"/>
          <w:highlight w:val="none"/>
        </w:rPr>
        <w:t>般公共预算财政拨款基本支出决算情况说明</w:t>
      </w:r>
      <w:bookmarkEnd w:id="98"/>
      <w:bookmarkEnd w:id="99"/>
      <w:bookmarkEnd w:id="100"/>
      <w:bookmarkEnd w:id="101"/>
      <w:bookmarkEnd w:id="102"/>
      <w:r>
        <w:rPr>
          <w:rStyle w:val="38"/>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187.95</w:t>
      </w:r>
      <w:r>
        <w:rPr>
          <w:rFonts w:hint="eastAsia" w:ascii="仿宋" w:hAnsi="仿宋" w:eastAsia="仿宋"/>
          <w:color w:val="auto"/>
          <w:sz w:val="32"/>
          <w:szCs w:val="32"/>
          <w:highlight w:val="none"/>
        </w:rPr>
        <w:t>万元，其中：</w:t>
      </w:r>
    </w:p>
    <w:p>
      <w:pPr>
        <w:spacing w:line="600" w:lineRule="exact"/>
        <w:ind w:firstLine="645"/>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177.41</w:t>
      </w:r>
      <w:r>
        <w:rPr>
          <w:rFonts w:hint="eastAsia" w:ascii="仿宋" w:hAnsi="仿宋" w:eastAsia="仿宋"/>
          <w:color w:val="auto"/>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auto"/>
          <w:sz w:val="32"/>
          <w:szCs w:val="32"/>
          <w:highlight w:val="none"/>
        </w:rPr>
      </w:pPr>
      <w:r>
        <w:rPr>
          <w:rFonts w:hint="eastAsia" w:ascii="仿宋" w:hAnsi="仿宋" w:eastAsia="仿宋"/>
          <w:color w:val="auto"/>
          <w:sz w:val="32"/>
          <w:szCs w:val="32"/>
          <w:highlight w:val="none"/>
        </w:rPr>
        <w:t>公用经费</w:t>
      </w:r>
      <w:r>
        <w:rPr>
          <w:rFonts w:hint="eastAsia" w:ascii="仿宋" w:hAnsi="仿宋" w:eastAsia="仿宋"/>
          <w:color w:val="auto"/>
          <w:sz w:val="32"/>
          <w:szCs w:val="32"/>
          <w:highlight w:val="none"/>
          <w:lang w:val="en-US" w:eastAsia="zh-CN"/>
        </w:rPr>
        <w:t>10.53</w:t>
      </w:r>
      <w:r>
        <w:rPr>
          <w:rFonts w:hint="eastAsia" w:ascii="仿宋" w:hAnsi="仿宋" w:eastAsia="仿宋"/>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8"/>
          <w:rFonts w:ascii="黑体" w:hAnsi="黑体" w:eastAsia="黑体"/>
          <w:b w:val="0"/>
          <w:color w:val="auto"/>
          <w:highlight w:val="none"/>
        </w:rPr>
      </w:pPr>
      <w:bookmarkStart w:id="103" w:name="_Toc15377215"/>
      <w:bookmarkStart w:id="104" w:name="_Toc15396609"/>
      <w:bookmarkStart w:id="105" w:name="_Toc29051"/>
      <w:bookmarkStart w:id="106" w:name="_Toc12984"/>
      <w:bookmarkStart w:id="107" w:name="_Toc24024"/>
      <w:r>
        <w:rPr>
          <w:rFonts w:hint="eastAsia" w:ascii="黑体" w:eastAsia="黑体"/>
          <w:color w:val="auto"/>
          <w:sz w:val="32"/>
          <w:szCs w:val="32"/>
          <w:highlight w:val="none"/>
        </w:rPr>
        <w:t>七、</w:t>
      </w:r>
      <w:r>
        <w:rPr>
          <w:rStyle w:val="38"/>
          <w:rFonts w:hint="eastAsia" w:ascii="黑体" w:hAnsi="黑体" w:eastAsia="黑体"/>
          <w:color w:val="auto"/>
          <w:highlight w:val="none"/>
        </w:rPr>
        <w:t>“</w:t>
      </w:r>
      <w:r>
        <w:rPr>
          <w:rStyle w:val="38"/>
          <w:rFonts w:hint="eastAsia" w:ascii="黑体" w:hAnsi="黑体" w:eastAsia="黑体"/>
          <w:b w:val="0"/>
          <w:color w:val="auto"/>
          <w:highlight w:val="none"/>
        </w:rPr>
        <w:t>三公”经费财政拨款支出决算情况说明</w:t>
      </w:r>
      <w:bookmarkEnd w:id="103"/>
      <w:bookmarkEnd w:id="104"/>
      <w:bookmarkEnd w:id="105"/>
      <w:bookmarkEnd w:id="106"/>
      <w:bookmarkEnd w:id="107"/>
    </w:p>
    <w:p>
      <w:pPr>
        <w:spacing w:line="600" w:lineRule="exact"/>
        <w:ind w:firstLine="640"/>
        <w:outlineLvl w:val="2"/>
        <w:rPr>
          <w:rFonts w:ascii="仿宋" w:hAnsi="仿宋" w:eastAsia="仿宋"/>
          <w:b/>
          <w:color w:val="auto"/>
          <w:sz w:val="32"/>
          <w:szCs w:val="32"/>
          <w:highlight w:val="none"/>
        </w:rPr>
      </w:pPr>
      <w:bookmarkStart w:id="108" w:name="_Toc15377216"/>
      <w:r>
        <w:rPr>
          <w:rFonts w:hint="eastAsia" w:ascii="仿宋" w:hAnsi="仿宋" w:eastAsia="仿宋"/>
          <w:b/>
          <w:color w:val="auto"/>
          <w:sz w:val="32"/>
          <w:szCs w:val="32"/>
          <w:highlight w:val="none"/>
        </w:rPr>
        <w:t>（一）“三公”经费财政拨款支出决算总体情况说明</w:t>
      </w:r>
      <w:bookmarkEnd w:id="108"/>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1.30</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100.00</w:t>
      </w:r>
      <w:r>
        <w:rPr>
          <w:rFonts w:ascii="仿宋" w:hAnsi="仿宋" w:eastAsia="仿宋"/>
          <w:color w:val="auto"/>
          <w:sz w:val="32"/>
          <w:szCs w:val="32"/>
          <w:highlight w:val="none"/>
        </w:rPr>
        <w:t>%</w:t>
      </w:r>
      <w:r>
        <w:rPr>
          <w:rFonts w:hint="eastAsia" w:ascii="仿宋" w:hAnsi="仿宋" w:eastAsia="仿宋"/>
          <w:color w:val="auto"/>
          <w:sz w:val="32"/>
          <w:szCs w:val="32"/>
          <w:highlight w:val="none"/>
          <w:lang w:eastAsia="zh-CN"/>
        </w:rPr>
        <w:t>，决算数大于预算数的主要原因是</w:t>
      </w:r>
      <w:r>
        <w:rPr>
          <w:rFonts w:hint="eastAsia" w:ascii="仿宋" w:hAnsi="仿宋" w:eastAsia="仿宋"/>
          <w:color w:val="auto"/>
          <w:sz w:val="32"/>
          <w:szCs w:val="32"/>
          <w:highlight w:val="none"/>
          <w:lang w:val="en-US" w:eastAsia="zh-CN"/>
        </w:rPr>
        <w:t>本年公务用车增加</w:t>
      </w:r>
      <w:r>
        <w:rPr>
          <w:rFonts w:hint="eastAsia" w:ascii="仿宋" w:hAnsi="仿宋" w:eastAsia="仿宋"/>
          <w:color w:val="auto"/>
          <w:sz w:val="32"/>
          <w:szCs w:val="32"/>
          <w:highlight w:val="none"/>
        </w:rPr>
        <w:t>。</w:t>
      </w:r>
    </w:p>
    <w:p>
      <w:pPr>
        <w:spacing w:line="600" w:lineRule="exact"/>
        <w:ind w:firstLine="640"/>
        <w:outlineLvl w:val="2"/>
        <w:rPr>
          <w:rFonts w:ascii="仿宋" w:hAnsi="仿宋" w:eastAsia="仿宋"/>
          <w:b/>
          <w:color w:val="auto"/>
          <w:sz w:val="32"/>
          <w:szCs w:val="32"/>
          <w:highlight w:val="none"/>
        </w:rPr>
      </w:pPr>
      <w:bookmarkStart w:id="109" w:name="_Toc15377217"/>
      <w:r>
        <w:rPr>
          <w:rFonts w:hint="eastAsia" w:ascii="仿宋" w:hAnsi="仿宋" w:eastAsia="仿宋"/>
          <w:b/>
          <w:color w:val="auto"/>
          <w:sz w:val="32"/>
          <w:szCs w:val="32"/>
          <w:highlight w:val="none"/>
        </w:rPr>
        <w:t>（二）“三公”经费财政拨款支出决算具体情况说明</w:t>
      </w:r>
      <w:bookmarkEnd w:id="109"/>
    </w:p>
    <w:p>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1.00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76.92</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0.30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23.08</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sz w:val="32"/>
          <w:szCs w:val="32"/>
        </w:rPr>
      </w:pPr>
      <w:r>
        <w:rPr>
          <w:rFonts w:hint="eastAsia" w:ascii="仿宋" w:hAnsi="仿宋" w:eastAsia="仿宋"/>
          <w:color w:val="auto"/>
          <w:sz w:val="32"/>
          <w:szCs w:val="32"/>
          <w:highlight w:val="none"/>
          <w:lang w:eastAsia="zh-CN"/>
        </w:rPr>
        <w:drawing>
          <wp:inline distT="0" distB="0" distL="114300" distR="114300">
            <wp:extent cx="5747385" cy="3982720"/>
            <wp:effectExtent l="4445" t="4445" r="20320" b="13335"/>
            <wp:docPr id="1" name="图表 1"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0"/>
      </w:pPr>
      <w:r>
        <w:rPr>
          <w:rFonts w:hint="eastAsia" w:ascii="仿宋" w:hAnsi="仿宋" w:eastAsia="仿宋"/>
          <w:sz w:val="32"/>
          <w:szCs w:val="32"/>
        </w:rPr>
        <w:t>（图7：“三公”经费财政拨款支出结构）（饼状图）</w:t>
      </w:r>
    </w:p>
    <w:p>
      <w:pPr>
        <w:spacing w:line="600" w:lineRule="exact"/>
        <w:ind w:firstLine="643" w:firstLineChars="20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 w:hAnsi="仿宋" w:eastAsia="仿宋"/>
          <w:color w:val="auto"/>
          <w:sz w:val="32"/>
          <w:szCs w:val="32"/>
          <w:highlight w:val="none"/>
          <w:lang w:val="en-US" w:eastAsia="zh-CN"/>
        </w:rPr>
        <w:t>0.00</w:t>
      </w:r>
      <w:r>
        <w:rPr>
          <w:rFonts w:hint="eastAsia" w:ascii="仿宋_GB2312" w:eastAsia="仿宋_GB2312"/>
          <w:color w:val="auto"/>
          <w:sz w:val="32"/>
          <w:szCs w:val="32"/>
          <w:highlight w:val="none"/>
        </w:rPr>
        <w:t>万元，</w:t>
      </w:r>
      <w:r>
        <w:rPr>
          <w:rStyle w:val="25"/>
          <w:rFonts w:hint="eastAsia" w:ascii="仿宋" w:hAnsi="仿宋" w:eastAsia="仿宋"/>
          <w:b w:val="0"/>
          <w:bCs/>
          <w:color w:val="auto"/>
          <w:sz w:val="32"/>
          <w:szCs w:val="32"/>
          <w:highlight w:val="none"/>
        </w:rPr>
        <w:t>完成预算</w:t>
      </w:r>
      <w:r>
        <w:rPr>
          <w:rFonts w:hint="eastAsia" w:ascii="仿宋" w:hAnsi="仿宋" w:eastAsia="仿宋"/>
          <w:color w:val="auto"/>
          <w:sz w:val="32"/>
          <w:szCs w:val="32"/>
          <w:highlight w:val="none"/>
          <w:lang w:val="en-US" w:eastAsia="zh-CN"/>
        </w:rPr>
        <w:t>100.00</w:t>
      </w:r>
      <w:r>
        <w:rPr>
          <w:rStyle w:val="25"/>
          <w:rFonts w:ascii="仿宋" w:hAnsi="仿宋" w:eastAsia="仿宋"/>
          <w:b w:val="0"/>
          <w:bCs/>
          <w:color w:val="auto"/>
          <w:sz w:val="32"/>
          <w:szCs w:val="32"/>
          <w:highlight w:val="none"/>
        </w:rPr>
        <w:t>%</w:t>
      </w:r>
      <w:r>
        <w:rPr>
          <w:rStyle w:val="25"/>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w:t>
      </w:r>
      <w:r>
        <w:rPr>
          <w:rFonts w:hint="eastAsia" w:ascii="仿宋_GB2312" w:eastAsia="仿宋_GB2312"/>
          <w:color w:val="auto"/>
          <w:sz w:val="32"/>
          <w:szCs w:val="32"/>
          <w:highlight w:val="none"/>
          <w:lang w:val="en-US" w:eastAsia="zh-CN"/>
        </w:rPr>
        <w:t>与</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持平</w:t>
      </w:r>
      <w:r>
        <w:rPr>
          <w:rFonts w:hint="eastAsia" w:ascii="仿宋_GB2312" w:eastAsia="仿宋_GB2312"/>
          <w:color w:val="auto"/>
          <w:sz w:val="32"/>
          <w:szCs w:val="32"/>
          <w:highlight w:val="none"/>
        </w:rPr>
        <w:t>。</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 w:hAnsi="仿宋" w:eastAsia="仿宋"/>
          <w:color w:val="auto"/>
          <w:sz w:val="32"/>
          <w:szCs w:val="32"/>
          <w:highlight w:val="none"/>
          <w:lang w:val="en-US" w:eastAsia="zh-CN"/>
        </w:rPr>
        <w:t>1.00</w:t>
      </w:r>
      <w:r>
        <w:rPr>
          <w:rFonts w:hint="eastAsia" w:ascii="仿宋_GB2312" w:eastAsia="仿宋_GB2312"/>
          <w:color w:val="auto"/>
          <w:sz w:val="32"/>
          <w:szCs w:val="32"/>
          <w:highlight w:val="none"/>
        </w:rPr>
        <w:t>万元,</w:t>
      </w:r>
      <w:r>
        <w:rPr>
          <w:rStyle w:val="25"/>
          <w:rFonts w:hint="eastAsia" w:ascii="仿宋" w:hAnsi="仿宋" w:eastAsia="仿宋"/>
          <w:b w:val="0"/>
          <w:bCs/>
          <w:color w:val="auto"/>
          <w:sz w:val="32"/>
          <w:szCs w:val="32"/>
          <w:highlight w:val="none"/>
        </w:rPr>
        <w:t>完成预算</w:t>
      </w:r>
      <w:r>
        <w:rPr>
          <w:rStyle w:val="25"/>
          <w:rFonts w:hint="eastAsia" w:ascii="仿宋" w:hAnsi="仿宋" w:eastAsia="仿宋"/>
          <w:b w:val="0"/>
          <w:bCs/>
          <w:color w:val="auto"/>
          <w:sz w:val="32"/>
          <w:szCs w:val="32"/>
          <w:highlight w:val="none"/>
          <w:lang w:val="en-US" w:eastAsia="zh-CN"/>
        </w:rPr>
        <w:t>100.00</w:t>
      </w:r>
      <w:r>
        <w:rPr>
          <w:rStyle w:val="25"/>
          <w:rFonts w:ascii="仿宋" w:hAnsi="仿宋" w:eastAsia="仿宋"/>
          <w:b w:val="0"/>
          <w:bCs/>
          <w:color w:val="auto"/>
          <w:sz w:val="32"/>
          <w:szCs w:val="32"/>
          <w:highlight w:val="none"/>
        </w:rPr>
        <w:t>%</w:t>
      </w:r>
      <w:r>
        <w:rPr>
          <w:rStyle w:val="25"/>
          <w:rFonts w:hint="eastAsia" w:ascii="仿宋" w:hAnsi="仿宋" w:eastAsia="仿宋"/>
          <w:b w:val="0"/>
          <w:bCs/>
          <w:color w:val="auto"/>
          <w:sz w:val="32"/>
          <w:szCs w:val="32"/>
          <w:highlight w:val="none"/>
          <w:lang w:val="en-US" w:eastAsia="zh-CN"/>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相比</w:t>
      </w:r>
      <w:r>
        <w:rPr>
          <w:rFonts w:hint="eastAsia" w:ascii="仿宋" w:hAnsi="仿宋" w:eastAsia="仿宋"/>
          <w:color w:val="auto"/>
          <w:sz w:val="32"/>
          <w:szCs w:val="32"/>
          <w:highlight w:val="none"/>
          <w:lang w:eastAsia="zh-CN"/>
        </w:rPr>
        <w:t>增加</w:t>
      </w:r>
      <w:r>
        <w:rPr>
          <w:rFonts w:hint="eastAsia" w:ascii="仿宋" w:hAnsi="仿宋" w:eastAsia="仿宋"/>
          <w:color w:val="auto"/>
          <w:sz w:val="32"/>
          <w:szCs w:val="32"/>
          <w:highlight w:val="none"/>
          <w:lang w:val="en-US" w:eastAsia="zh-CN"/>
        </w:rPr>
        <w:t>1.00万元，增长100.00%</w:t>
      </w:r>
      <w:r>
        <w:rPr>
          <w:rFonts w:hint="eastAsia" w:ascii="仿宋_GB2312" w:eastAsia="仿宋_GB2312"/>
          <w:color w:val="auto"/>
          <w:sz w:val="32"/>
          <w:szCs w:val="32"/>
          <w:highlight w:val="none"/>
          <w:lang w:val="en-US" w:eastAsia="zh-CN"/>
        </w:rPr>
        <w:t>。主要变动原因是</w:t>
      </w:r>
      <w:r>
        <w:rPr>
          <w:rFonts w:hint="eastAsia" w:ascii="仿宋" w:hAnsi="仿宋" w:eastAsia="仿宋"/>
          <w:color w:val="auto"/>
          <w:sz w:val="32"/>
          <w:szCs w:val="32"/>
          <w:highlight w:val="none"/>
          <w:lang w:val="en-US" w:eastAsia="zh-CN"/>
        </w:rPr>
        <w:t>本年公务用车增加</w:t>
      </w:r>
      <w:r>
        <w:rPr>
          <w:rStyle w:val="25"/>
          <w:rFonts w:hint="eastAsia" w:ascii="仿宋" w:hAnsi="仿宋" w:eastAsia="仿宋"/>
          <w:b w:val="0"/>
          <w:bCs/>
          <w:color w:val="auto"/>
          <w:sz w:val="32"/>
          <w:szCs w:val="32"/>
          <w:highlight w:val="none"/>
        </w:rPr>
        <w:t>。</w:t>
      </w:r>
    </w:p>
    <w:p>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、其他车型</w:t>
      </w:r>
      <w:r>
        <w:rPr>
          <w:rFonts w:hint="eastAsia" w:ascii="仿宋_GB2312" w:eastAsia="仿宋_GB2312"/>
          <w:color w:val="auto"/>
          <w:sz w:val="32"/>
          <w:szCs w:val="32"/>
          <w:highlight w:val="none"/>
          <w:lang w:val="en-US" w:eastAsia="zh-CN"/>
        </w:rPr>
        <w:t>0辆</w:t>
      </w:r>
      <w:r>
        <w:rPr>
          <w:rFonts w:hint="eastAsia" w:ascii="仿宋_GB2312" w:eastAsia="仿宋_GB2312"/>
          <w:color w:val="auto"/>
          <w:sz w:val="32"/>
          <w:szCs w:val="32"/>
          <w:highlight w:val="none"/>
        </w:rPr>
        <w:t>。</w:t>
      </w:r>
    </w:p>
    <w:p>
      <w:pPr>
        <w:spacing w:line="600" w:lineRule="exact"/>
        <w:ind w:firstLine="640"/>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1.00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主要用于</w:t>
      </w:r>
      <w:r>
        <w:rPr>
          <w:rFonts w:hint="eastAsia" w:ascii="仿宋_GB2312" w:eastAsia="仿宋_GB2312"/>
          <w:color w:val="auto"/>
          <w:sz w:val="32"/>
          <w:szCs w:val="32"/>
          <w:highlight w:val="none"/>
          <w:lang w:val="en-US" w:eastAsia="zh-CN"/>
        </w:rPr>
        <w:t>办公出行</w:t>
      </w:r>
      <w:r>
        <w:rPr>
          <w:rFonts w:hint="eastAsia" w:ascii="仿宋_GB2312" w:eastAsia="仿宋_GB2312"/>
          <w:color w:val="auto"/>
          <w:sz w:val="32"/>
          <w:szCs w:val="32"/>
          <w:highlight w:val="none"/>
        </w:rPr>
        <w:t>等所需的公务用车燃料费、维修费、过路过桥费、保险费等支出。</w:t>
      </w:r>
    </w:p>
    <w:p>
      <w:pPr>
        <w:numPr>
          <w:ilvl w:val="0"/>
          <w:numId w:val="6"/>
        </w:numPr>
        <w:spacing w:line="600" w:lineRule="exact"/>
        <w:ind w:firstLine="640"/>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0.30</w:t>
      </w:r>
      <w:r>
        <w:rPr>
          <w:rFonts w:hint="eastAsia" w:ascii="仿宋_GB2312" w:eastAsia="仿宋_GB2312"/>
          <w:color w:val="auto"/>
          <w:sz w:val="32"/>
          <w:szCs w:val="32"/>
          <w:highlight w:val="none"/>
        </w:rPr>
        <w:t>万元，</w:t>
      </w:r>
      <w:r>
        <w:rPr>
          <w:rStyle w:val="25"/>
          <w:rFonts w:hint="eastAsia" w:ascii="仿宋" w:hAnsi="仿宋" w:eastAsia="仿宋"/>
          <w:b w:val="0"/>
          <w:bCs/>
          <w:color w:val="auto"/>
          <w:sz w:val="32"/>
          <w:szCs w:val="32"/>
          <w:highlight w:val="none"/>
        </w:rPr>
        <w:t>完成预算</w:t>
      </w:r>
      <w:r>
        <w:rPr>
          <w:rStyle w:val="25"/>
          <w:rFonts w:hint="eastAsia" w:ascii="仿宋" w:hAnsi="仿宋" w:eastAsia="仿宋"/>
          <w:b w:val="0"/>
          <w:bCs/>
          <w:color w:val="auto"/>
          <w:sz w:val="32"/>
          <w:szCs w:val="32"/>
          <w:highlight w:val="none"/>
          <w:lang w:val="en-US" w:eastAsia="zh-CN"/>
        </w:rPr>
        <w:t>100.00</w:t>
      </w:r>
      <w:r>
        <w:rPr>
          <w:rStyle w:val="25"/>
          <w:rFonts w:ascii="仿宋" w:hAnsi="仿宋" w:eastAsia="仿宋"/>
          <w:b w:val="0"/>
          <w:bCs/>
          <w:color w:val="auto"/>
          <w:sz w:val="32"/>
          <w:szCs w:val="32"/>
          <w:highlight w:val="none"/>
        </w:rPr>
        <w:t>%</w:t>
      </w:r>
      <w:r>
        <w:rPr>
          <w:rStyle w:val="25"/>
          <w:rFonts w:hint="eastAsia" w:ascii="仿宋" w:hAnsi="仿宋" w:eastAsia="仿宋"/>
          <w:b w:val="0"/>
          <w:bCs/>
          <w:color w:val="auto"/>
          <w:sz w:val="32"/>
          <w:szCs w:val="32"/>
          <w:highlight w:val="none"/>
          <w:lang w:val="en-US" w:eastAsia="zh-CN"/>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相比减少0.01万元，下降3.23%。主要变动原因是主要原因是按照中央八项规定及厉行节约、反对浪费的要求，简化接待程序，严格控制用餐及住宿标准，减少公务接待开支</w:t>
      </w:r>
      <w:r>
        <w:rPr>
          <w:rFonts w:hint="eastAsia" w:ascii="仿宋_GB2312" w:eastAsia="仿宋_GB2312"/>
          <w:color w:val="auto"/>
          <w:sz w:val="32"/>
          <w:szCs w:val="32"/>
          <w:highlight w:val="none"/>
        </w:rPr>
        <w:t>。</w:t>
      </w:r>
    </w:p>
    <w:p>
      <w:p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_GB2312" w:eastAsia="仿宋_GB2312"/>
          <w:color w:val="auto"/>
          <w:sz w:val="32"/>
          <w:szCs w:val="32"/>
          <w:highlight w:val="none"/>
          <w:lang w:val="en-US" w:eastAsia="zh-CN"/>
        </w:rPr>
        <w:t>0.30</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50</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0.30</w:t>
      </w:r>
      <w:r>
        <w:rPr>
          <w:rFonts w:hint="eastAsia" w:ascii="仿宋_GB2312" w:eastAsia="仿宋_GB2312"/>
          <w:color w:val="auto"/>
          <w:sz w:val="32"/>
          <w:szCs w:val="32"/>
          <w:highlight w:val="none"/>
        </w:rPr>
        <w:t>万元。</w:t>
      </w:r>
    </w:p>
    <w:p>
      <w:pPr>
        <w:spacing w:line="600" w:lineRule="exact"/>
        <w:ind w:firstLine="643" w:firstLineChars="200"/>
        <w:rPr>
          <w:rFonts w:ascii="黑体" w:eastAsia="黑体"/>
          <w:color w:val="auto"/>
          <w:sz w:val="32"/>
          <w:szCs w:val="32"/>
          <w:highlight w:val="none"/>
        </w:rPr>
      </w:pPr>
      <w:r>
        <w:rPr>
          <w:rFonts w:hint="eastAsia" w:ascii="仿宋" w:hAnsi="仿宋" w:eastAsia="仿宋"/>
          <w:b/>
          <w:color w:val="auto"/>
          <w:sz w:val="32"/>
          <w:szCs w:val="32"/>
          <w:highlight w:val="none"/>
        </w:rPr>
        <w:t>外事接待支出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bookmarkStart w:id="110" w:name="_Toc15377218"/>
      <w:bookmarkStart w:id="111" w:name="_Toc15396610"/>
    </w:p>
    <w:p>
      <w:pPr>
        <w:spacing w:line="600" w:lineRule="exact"/>
        <w:ind w:firstLine="640"/>
        <w:outlineLvl w:val="1"/>
        <w:rPr>
          <w:rStyle w:val="38"/>
          <w:rFonts w:ascii="黑体" w:hAnsi="黑体" w:eastAsia="黑体"/>
          <w:color w:val="auto"/>
          <w:highlight w:val="none"/>
        </w:rPr>
      </w:pPr>
      <w:bookmarkStart w:id="112" w:name="_Toc1183"/>
      <w:bookmarkStart w:id="113" w:name="_Toc10598"/>
      <w:bookmarkStart w:id="114" w:name="_Toc20082"/>
      <w:r>
        <w:rPr>
          <w:rFonts w:hint="eastAsia" w:ascii="黑体" w:eastAsia="黑体"/>
          <w:color w:val="auto"/>
          <w:sz w:val="32"/>
          <w:szCs w:val="32"/>
          <w:highlight w:val="none"/>
        </w:rPr>
        <w:t>八、</w:t>
      </w:r>
      <w:r>
        <w:rPr>
          <w:rStyle w:val="38"/>
          <w:rFonts w:hint="eastAsia" w:ascii="黑体" w:hAnsi="黑体" w:eastAsia="黑体"/>
          <w:b w:val="0"/>
          <w:color w:val="auto"/>
          <w:highlight w:val="none"/>
        </w:rPr>
        <w:t>政府性基金预算支出决算情况说明</w:t>
      </w:r>
      <w:bookmarkEnd w:id="110"/>
      <w:bookmarkEnd w:id="111"/>
      <w:bookmarkEnd w:id="112"/>
      <w:bookmarkEnd w:id="113"/>
      <w:bookmarkEnd w:id="114"/>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p>
    <w:p>
      <w:pPr>
        <w:numPr>
          <w:ilvl w:val="0"/>
          <w:numId w:val="7"/>
        </w:numPr>
        <w:spacing w:line="600" w:lineRule="exact"/>
        <w:ind w:firstLine="640"/>
        <w:outlineLvl w:val="1"/>
        <w:rPr>
          <w:rStyle w:val="38"/>
          <w:rFonts w:ascii="黑体" w:hAnsi="黑体" w:eastAsia="黑体"/>
          <w:b w:val="0"/>
          <w:color w:val="auto"/>
          <w:highlight w:val="none"/>
        </w:rPr>
      </w:pPr>
      <w:bookmarkStart w:id="115" w:name="_Toc15377219"/>
      <w:bookmarkStart w:id="116" w:name="_Toc9396"/>
      <w:bookmarkStart w:id="117" w:name="_Toc15396611"/>
      <w:bookmarkStart w:id="118" w:name="_Toc11130"/>
      <w:bookmarkStart w:id="119" w:name="_Toc878"/>
      <w:r>
        <w:rPr>
          <w:rStyle w:val="38"/>
          <w:rFonts w:hint="eastAsia" w:ascii="黑体" w:hAnsi="黑体" w:eastAsia="黑体"/>
          <w:b w:val="0"/>
          <w:color w:val="auto"/>
          <w:highlight w:val="none"/>
        </w:rPr>
        <w:t>国有资本经营预算支出决算情况说明</w:t>
      </w:r>
      <w:bookmarkEnd w:id="115"/>
      <w:bookmarkEnd w:id="116"/>
      <w:bookmarkEnd w:id="117"/>
      <w:bookmarkEnd w:id="118"/>
      <w:bookmarkEnd w:id="119"/>
    </w:p>
    <w:p>
      <w:pPr>
        <w:spacing w:line="600" w:lineRule="exact"/>
        <w:ind w:firstLine="640"/>
        <w:rPr>
          <w:rFonts w:ascii="方正小标宋简体" w:hAnsi="方正小标宋简体" w:eastAsia="方正小标宋简体" w:cs="方正小标宋简体"/>
          <w:color w:val="auto"/>
          <w:sz w:val="44"/>
          <w:szCs w:val="44"/>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p>
    <w:p>
      <w:pPr>
        <w:numPr>
          <w:ilvl w:val="0"/>
          <w:numId w:val="7"/>
        </w:numPr>
        <w:spacing w:line="600" w:lineRule="exact"/>
        <w:ind w:firstLine="640"/>
        <w:outlineLvl w:val="1"/>
        <w:rPr>
          <w:rStyle w:val="38"/>
          <w:rFonts w:hint="eastAsia" w:ascii="黑体" w:hAnsi="黑体" w:eastAsia="黑体"/>
          <w:b w:val="0"/>
          <w:color w:val="auto"/>
          <w:highlight w:val="none"/>
        </w:rPr>
      </w:pPr>
      <w:bookmarkStart w:id="120" w:name="_Toc15396612"/>
      <w:bookmarkStart w:id="121" w:name="_Toc15377221"/>
      <w:bookmarkStart w:id="122" w:name="_Toc27202"/>
      <w:bookmarkStart w:id="123" w:name="_Toc4171"/>
      <w:bookmarkStart w:id="124" w:name="_Toc12337"/>
      <w:r>
        <w:rPr>
          <w:rStyle w:val="38"/>
          <w:rFonts w:hint="eastAsia" w:ascii="黑体" w:hAnsi="黑体" w:eastAsia="黑体"/>
          <w:b w:val="0"/>
          <w:color w:val="auto"/>
          <w:highlight w:val="none"/>
        </w:rPr>
        <w:t>其他重要事项的情况说明</w:t>
      </w:r>
      <w:bookmarkEnd w:id="120"/>
      <w:bookmarkEnd w:id="121"/>
      <w:bookmarkEnd w:id="122"/>
      <w:bookmarkEnd w:id="123"/>
      <w:bookmarkEnd w:id="124"/>
    </w:p>
    <w:p>
      <w:pPr>
        <w:spacing w:line="600" w:lineRule="exact"/>
        <w:ind w:firstLine="643" w:firstLineChars="200"/>
        <w:outlineLvl w:val="2"/>
        <w:rPr>
          <w:rFonts w:ascii="仿宋" w:hAnsi="仿宋" w:eastAsia="仿宋"/>
          <w:color w:val="auto"/>
          <w:sz w:val="32"/>
          <w:szCs w:val="32"/>
          <w:highlight w:val="none"/>
        </w:rPr>
      </w:pPr>
      <w:bookmarkStart w:id="125" w:name="_Toc15377222"/>
      <w:r>
        <w:rPr>
          <w:rFonts w:hint="eastAsia" w:ascii="仿宋" w:hAnsi="仿宋" w:eastAsia="仿宋"/>
          <w:b/>
          <w:color w:val="auto"/>
          <w:sz w:val="32"/>
          <w:szCs w:val="32"/>
          <w:highlight w:val="none"/>
        </w:rPr>
        <w:t>（一）机关运行经费支出情况</w:t>
      </w:r>
      <w:bookmarkEnd w:id="125"/>
    </w:p>
    <w:p>
      <w:pPr>
        <w:spacing w:line="600" w:lineRule="exact"/>
        <w:ind w:firstLine="640" w:firstLineChars="200"/>
        <w:rPr>
          <w:rFonts w:hint="eastAsia" w:ascii="仿宋_GB2312" w:eastAsia="仿宋_GB2312"/>
          <w:color w:val="FF0000"/>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中共青年团乐山市沙湾区委员会</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5.25</w:t>
      </w:r>
      <w:r>
        <w:rPr>
          <w:rFonts w:hint="eastAsia" w:ascii="仿宋_GB2312" w:eastAsia="仿宋_GB2312"/>
          <w:color w:val="auto"/>
          <w:sz w:val="32"/>
          <w:szCs w:val="32"/>
          <w:highlight w:val="none"/>
        </w:rPr>
        <w:t>万元，</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相比</w:t>
      </w:r>
      <w:r>
        <w:rPr>
          <w:rFonts w:hint="eastAsia" w:ascii="仿宋" w:hAnsi="仿宋" w:eastAsia="仿宋"/>
          <w:color w:val="auto"/>
          <w:sz w:val="32"/>
          <w:szCs w:val="32"/>
          <w:highlight w:val="none"/>
          <w:lang w:eastAsia="zh-CN"/>
        </w:rPr>
        <w:t>增加</w:t>
      </w:r>
      <w:r>
        <w:rPr>
          <w:rFonts w:hint="eastAsia" w:ascii="仿宋" w:hAnsi="仿宋" w:eastAsia="仿宋"/>
          <w:color w:val="auto"/>
          <w:sz w:val="32"/>
          <w:szCs w:val="32"/>
          <w:highlight w:val="none"/>
          <w:lang w:val="en-US" w:eastAsia="zh-CN"/>
        </w:rPr>
        <w:t>1.02，增长24.02%</w:t>
      </w:r>
      <w:r>
        <w:rPr>
          <w:rFonts w:hint="eastAsia" w:ascii="仿宋_GB2312" w:eastAsia="仿宋_GB2312"/>
          <w:color w:val="auto"/>
          <w:sz w:val="32"/>
          <w:szCs w:val="32"/>
          <w:highlight w:val="none"/>
          <w:lang w:val="en-US" w:eastAsia="zh-CN"/>
        </w:rPr>
        <w:t>。主要原因是</w:t>
      </w:r>
      <w:r>
        <w:rPr>
          <w:rFonts w:hint="eastAsia" w:ascii="仿宋" w:hAnsi="仿宋" w:eastAsia="仿宋"/>
          <w:color w:val="auto"/>
          <w:sz w:val="32"/>
          <w:szCs w:val="32"/>
          <w:highlight w:val="none"/>
          <w:lang w:val="en-US" w:eastAsia="zh-CN"/>
        </w:rPr>
        <w:t>本年费用增加。</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126" w:name="_Toc15377223"/>
      <w:r>
        <w:rPr>
          <w:rFonts w:hint="eastAsia" w:ascii="仿宋" w:hAnsi="仿宋" w:eastAsia="仿宋"/>
          <w:b/>
          <w:color w:val="auto"/>
          <w:sz w:val="32"/>
          <w:szCs w:val="32"/>
          <w:highlight w:val="none"/>
        </w:rPr>
        <w:t>（二）政府采购支出情况</w:t>
      </w:r>
      <w:bookmarkEnd w:id="126"/>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中共青年团乐山市沙湾区委员会</w:t>
      </w:r>
      <w:r>
        <w:rPr>
          <w:rFonts w:hint="eastAsia" w:ascii="仿宋_GB2312" w:eastAsia="仿宋_GB2312"/>
          <w:color w:val="auto"/>
          <w:sz w:val="32"/>
          <w:szCs w:val="32"/>
          <w:highlight w:val="none"/>
        </w:rPr>
        <w:t>采购支出总额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万元，其中：政府采购货物支</w:t>
      </w:r>
      <w:r>
        <w:rPr>
          <w:rFonts w:hint="eastAsia" w:ascii="仿宋_GB2312" w:eastAsia="仿宋_GB2312"/>
          <w:color w:val="auto"/>
          <w:sz w:val="32"/>
          <w:szCs w:val="32"/>
          <w:highlight w:val="none"/>
          <w:lang w:val="en-US" w:eastAsia="zh-CN"/>
        </w:rPr>
        <w:t>出0.00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0.00</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127" w:name="_Toc15377224"/>
      <w:r>
        <w:rPr>
          <w:rFonts w:hint="eastAsia" w:ascii="仿宋" w:hAnsi="仿宋" w:eastAsia="仿宋"/>
          <w:b/>
          <w:color w:val="auto"/>
          <w:sz w:val="32"/>
          <w:szCs w:val="32"/>
          <w:highlight w:val="none"/>
        </w:rPr>
        <w:t>（三）国有资产占有使用情况</w:t>
      </w:r>
      <w:bookmarkEnd w:id="127"/>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中共青年团乐山市沙湾区委员会</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辆、执法执勤用车</w:t>
      </w:r>
      <w:r>
        <w:rPr>
          <w:rFonts w:hint="eastAsia" w:ascii="仿宋_GB2312" w:eastAsia="仿宋_GB2312"/>
          <w:color w:val="auto"/>
          <w:sz w:val="32"/>
          <w:szCs w:val="32"/>
          <w:highlight w:val="none"/>
          <w:lang w:val="en-US" w:eastAsia="zh-CN"/>
        </w:rPr>
        <w:t>0辆，特种专业技术用车0辆，离退休干部用车0辆，</w:t>
      </w:r>
      <w:r>
        <w:rPr>
          <w:rFonts w:hint="eastAsia" w:ascii="仿宋_GB2312" w:eastAsia="仿宋_GB2312"/>
          <w:color w:val="auto"/>
          <w:sz w:val="32"/>
          <w:szCs w:val="32"/>
          <w:highlight w:val="none"/>
        </w:rPr>
        <w:t>其他用车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其他用车主要是用于</w:t>
      </w:r>
      <w:r>
        <w:rPr>
          <w:rFonts w:hint="eastAsia" w:ascii="仿宋_GB2312" w:eastAsia="仿宋_GB2312"/>
          <w:color w:val="auto"/>
          <w:sz w:val="32"/>
          <w:szCs w:val="32"/>
          <w:highlight w:val="none"/>
          <w:lang w:val="en-US" w:eastAsia="zh-CN"/>
        </w:rPr>
        <w:t>办公使用，</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根据预算绩效管理要求，本单位在</w:t>
      </w:r>
      <w:r>
        <w:rPr>
          <w:rFonts w:hint="eastAsia" w:ascii="仿宋_GB2312" w:hAnsi="仿宋_GB2312" w:eastAsia="仿宋_GB2312" w:cs="仿宋_GB2312"/>
          <w:color w:val="auto"/>
          <w:sz w:val="32"/>
          <w:szCs w:val="32"/>
          <w:highlight w:val="none"/>
          <w:lang w:val="en-US" w:eastAsia="zh-CN"/>
        </w:rPr>
        <w:t>2021年度</w:t>
      </w:r>
      <w:r>
        <w:rPr>
          <w:rFonts w:hint="eastAsia" w:ascii="仿宋_GB2312" w:hAnsi="仿宋_GB2312" w:eastAsia="仿宋_GB2312" w:cs="仿宋_GB2312"/>
          <w:color w:val="auto"/>
          <w:sz w:val="32"/>
          <w:szCs w:val="32"/>
          <w:highlight w:val="none"/>
        </w:rPr>
        <w:t>预算编制阶段，组织</w:t>
      </w:r>
      <w:r>
        <w:rPr>
          <w:rFonts w:hint="eastAsia" w:ascii="仿宋_GB2312" w:hAnsi="仿宋_GB2312" w:eastAsia="仿宋_GB2312" w:cs="仿宋_GB2312"/>
          <w:color w:val="auto"/>
          <w:sz w:val="32"/>
          <w:szCs w:val="32"/>
          <w:highlight w:val="none"/>
          <w:lang w:val="en-US" w:eastAsia="zh-CN"/>
        </w:rPr>
        <w:t>对</w:t>
      </w:r>
      <w:r>
        <w:rPr>
          <w:rFonts w:hint="eastAsia" w:ascii="仿宋_GB2312" w:hAnsi="宋体" w:eastAsia="仿宋_GB2312" w:cs="宋体"/>
          <w:color w:val="000000"/>
          <w:kern w:val="0"/>
          <w:sz w:val="32"/>
          <w:szCs w:val="32"/>
          <w:shd w:val="clear" w:color="auto" w:fill="FFFFFF"/>
          <w:lang w:val="zh-CN"/>
        </w:rPr>
        <w:t>团委专项业务经费、区关工委日常工作经费、沙湾区“童伴计划”经费、</w:t>
      </w:r>
      <w:r>
        <w:rPr>
          <w:rFonts w:hint="eastAsia" w:ascii="仿宋_GB2312" w:hAnsi="宋体" w:eastAsia="仿宋_GB2312" w:cs="宋体"/>
          <w:color w:val="000000"/>
          <w:kern w:val="0"/>
          <w:sz w:val="32"/>
          <w:szCs w:val="32"/>
          <w:shd w:val="clear" w:color="auto" w:fill="FFFFFF"/>
          <w:lang w:val="en-US" w:eastAsia="zh-CN"/>
        </w:rPr>
        <w:t>非税收入—运转经费</w:t>
      </w:r>
      <w:r>
        <w:rPr>
          <w:rFonts w:hint="eastAsia" w:ascii="仿宋_GB2312" w:hAnsi="仿宋_GB2312" w:eastAsia="仿宋_GB2312" w:cs="仿宋_GB2312"/>
          <w:color w:val="auto"/>
          <w:sz w:val="32"/>
          <w:szCs w:val="32"/>
          <w:highlight w:val="none"/>
          <w:lang w:val="en-US" w:eastAsia="zh-CN"/>
        </w:rPr>
        <w:t>等4个项目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2021年特定目标类部门预算项目绩效目标自评表见附件（第四部分）</w:t>
      </w:r>
      <w:r>
        <w:rPr>
          <w:rFonts w:hint="eastAsia" w:ascii="仿宋_GB2312" w:hAnsi="仿宋_GB2312" w:eastAsia="仿宋_GB2312" w:cs="仿宋_GB2312"/>
          <w:color w:val="auto"/>
          <w:sz w:val="32"/>
          <w:szCs w:val="32"/>
          <w:highlight w:val="none"/>
        </w:rPr>
        <w:t>。</w:t>
      </w:r>
    </w:p>
    <w:p>
      <w:pPr>
        <w:pStyle w:val="9"/>
        <w:rPr>
          <w:highlight w:val="yellow"/>
        </w:rPr>
      </w:pPr>
    </w:p>
    <w:p>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numPr>
          <w:ilvl w:val="0"/>
          <w:numId w:val="8"/>
        </w:numPr>
        <w:spacing w:line="600" w:lineRule="exact"/>
        <w:ind w:firstLine="660" w:firstLineChars="150"/>
        <w:jc w:val="center"/>
        <w:outlineLvl w:val="0"/>
        <w:rPr>
          <w:rStyle w:val="37"/>
          <w:rFonts w:ascii="黑体" w:hAnsi="黑体" w:eastAsia="黑体"/>
          <w:b w:val="0"/>
          <w:color w:val="auto"/>
          <w:highlight w:val="none"/>
        </w:rPr>
      </w:pPr>
      <w:bookmarkStart w:id="128" w:name="_Toc15377225"/>
      <w:bookmarkStart w:id="129" w:name="_Toc15396613"/>
      <w:bookmarkStart w:id="130" w:name="_Toc22349"/>
      <w:bookmarkStart w:id="131" w:name="_Toc22852"/>
      <w:bookmarkStart w:id="132" w:name="_Toc3999"/>
      <w:r>
        <w:rPr>
          <w:rFonts w:hint="eastAsia" w:ascii="黑体" w:hAnsi="黑体" w:eastAsia="黑体"/>
          <w:color w:val="auto"/>
          <w:sz w:val="44"/>
          <w:szCs w:val="44"/>
          <w:highlight w:val="none"/>
        </w:rPr>
        <w:t>名</w:t>
      </w:r>
      <w:r>
        <w:rPr>
          <w:rStyle w:val="37"/>
          <w:rFonts w:hint="eastAsia" w:ascii="黑体" w:hAnsi="黑体" w:eastAsia="黑体"/>
          <w:b w:val="0"/>
          <w:color w:val="auto"/>
          <w:highlight w:val="none"/>
        </w:rPr>
        <w:t>词解释</w:t>
      </w:r>
      <w:bookmarkEnd w:id="128"/>
      <w:bookmarkEnd w:id="129"/>
      <w:bookmarkEnd w:id="130"/>
      <w:bookmarkEnd w:id="131"/>
      <w:bookmarkEnd w:id="132"/>
    </w:p>
    <w:p>
      <w:pPr>
        <w:spacing w:line="600" w:lineRule="exact"/>
        <w:jc w:val="left"/>
        <w:rPr>
          <w:rFonts w:ascii="宋体"/>
          <w:b/>
          <w:color w:val="auto"/>
          <w:sz w:val="44"/>
          <w:szCs w:val="44"/>
          <w:highlight w:val="none"/>
        </w:rPr>
      </w:pPr>
    </w:p>
    <w:p>
      <w:pPr>
        <w:pStyle w:val="35"/>
        <w:numPr>
          <w:ilvl w:val="0"/>
          <w:numId w:val="9"/>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财政拨款收入：指单位从同级财政部门取得的财政预算资金。</w:t>
      </w:r>
    </w:p>
    <w:p>
      <w:pPr>
        <w:pStyle w:val="35"/>
        <w:numPr>
          <w:ilvl w:val="0"/>
          <w:numId w:val="0"/>
        </w:numPr>
        <w:spacing w:line="560" w:lineRule="exact"/>
        <w:ind w:firstLine="640" w:firstLineChars="200"/>
        <w:rPr>
          <w:rFonts w:ascii="仿宋_GB2312" w:eastAsia="仿宋_GB2312"/>
          <w:color w:val="FF0000"/>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pPr>
        <w:pStyle w:val="35"/>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35"/>
        <w:spacing w:line="560" w:lineRule="exact"/>
        <w:ind w:firstLine="640" w:firstLineChars="200"/>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4.上级补助收入：指事业单位从主管部门和上级单位取得的非财政补助收入。</w:t>
      </w:r>
    </w:p>
    <w:p>
      <w:pPr>
        <w:pStyle w:val="35"/>
        <w:spacing w:line="560" w:lineRule="exact"/>
        <w:ind w:firstLine="640" w:firstLineChars="200"/>
        <w:rPr>
          <w:rFonts w:hint="default"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5.附属单位上缴收入：指事业单位附属独立核算单位按照有关规定上缴的收入。</w:t>
      </w:r>
    </w:p>
    <w:p>
      <w:pPr>
        <w:pStyle w:val="35"/>
        <w:spacing w:line="560" w:lineRule="exact"/>
        <w:ind w:firstLine="640" w:firstLineChars="200"/>
        <w:rPr>
          <w:rFonts w:hint="eastAsia" w:ascii="仿宋_GB2312" w:eastAsia="仿宋_GB2312"/>
          <w:color w:val="FF0000"/>
          <w:sz w:val="32"/>
          <w:szCs w:val="32"/>
          <w:highlight w:val="none"/>
        </w:rPr>
      </w:pP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其他收入：指单位取得的除上述收入以外的各项收入。</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9.</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35"/>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0.</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1.</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5"/>
        <w:rPr>
          <w:rFonts w:hint="eastAsia"/>
          <w:highlight w:val="yellow"/>
        </w:rPr>
      </w:pPr>
      <w:r>
        <w:rPr>
          <w:rFonts w:hint="eastAsia" w:ascii="仿宋_GB2312" w:eastAsia="仿宋_GB2312"/>
          <w:color w:val="000000" w:themeColor="text1"/>
          <w:sz w:val="32"/>
          <w:szCs w:val="32"/>
          <w:highlight w:val="none"/>
          <w:lang w:val="en-US" w:eastAsia="zh-CN"/>
          <w14:textFill>
            <w14:solidFill>
              <w14:schemeClr w14:val="tx1"/>
            </w14:solidFill>
          </w14:textFill>
        </w:rPr>
        <w:t>12.</w:t>
      </w:r>
      <w:r>
        <w:rPr>
          <w:rFonts w:hint="eastAsia"/>
        </w:rPr>
        <w:t>一般公共服务（类）人大事务（款）行政运行（项）:</w:t>
      </w:r>
      <w:r>
        <w:rPr>
          <w:rFonts w:hint="eastAsia"/>
          <w:lang w:eastAsia="zh-CN"/>
        </w:rPr>
        <w:t>指用于</w:t>
      </w:r>
      <w:r>
        <w:rPr>
          <w:rFonts w:hint="eastAsia"/>
          <w:highlight w:val="none"/>
        </w:rPr>
        <w:t>机关及参公管理事业单位正常运转的基本支出，包括基本工资、津贴补贴等人员经费以及办公费、印刷费、水电费等日常公用经费。</w:t>
      </w:r>
    </w:p>
    <w:p>
      <w:pPr>
        <w:pStyle w:val="45"/>
        <w:rPr>
          <w:rFonts w:hint="eastAsia" w:eastAsia="仿宋_GB2312"/>
          <w:lang w:eastAsia="zh-CN"/>
        </w:rPr>
      </w:pPr>
      <w:r>
        <w:rPr>
          <w:rFonts w:hint="eastAsia"/>
          <w:lang w:val="en-US" w:eastAsia="zh-CN"/>
        </w:rPr>
        <w:t>13</w:t>
      </w:r>
      <w:r>
        <w:rPr>
          <w:rFonts w:hint="eastAsia"/>
        </w:rPr>
        <w:t>.</w:t>
      </w:r>
      <w:r>
        <w:rPr>
          <w:rFonts w:hint="eastAsia"/>
          <w:highlight w:val="none"/>
        </w:rPr>
        <w:t>一般公共服务支出（类）</w:t>
      </w:r>
      <w:r>
        <w:rPr>
          <w:rFonts w:hint="eastAsia"/>
          <w:highlight w:val="none"/>
          <w:lang w:eastAsia="zh-CN"/>
        </w:rPr>
        <w:t>政府办公厅（室）及相关机构事务</w:t>
      </w:r>
      <w:r>
        <w:rPr>
          <w:rFonts w:hint="eastAsia"/>
          <w:highlight w:val="none"/>
        </w:rPr>
        <w:t>（款）</w:t>
      </w:r>
      <w:r>
        <w:rPr>
          <w:rFonts w:hint="eastAsia"/>
          <w:highlight w:val="none"/>
          <w:lang w:eastAsia="zh-CN"/>
        </w:rPr>
        <w:t>信访事务</w:t>
      </w:r>
      <w:r>
        <w:rPr>
          <w:rFonts w:hint="eastAsia"/>
          <w:highlight w:val="none"/>
        </w:rPr>
        <w:t>（项）:机关及参公管理事业单位开展</w:t>
      </w:r>
      <w:r>
        <w:rPr>
          <w:rFonts w:hint="eastAsia"/>
          <w:highlight w:val="none"/>
          <w:lang w:val="en-US" w:eastAsia="zh-CN"/>
        </w:rPr>
        <w:t>信访</w:t>
      </w:r>
      <w:r>
        <w:rPr>
          <w:rFonts w:hint="eastAsia"/>
          <w:highlight w:val="none"/>
        </w:rPr>
        <w:t>工作的支出</w:t>
      </w:r>
      <w:r>
        <w:rPr>
          <w:rFonts w:hint="eastAsia"/>
          <w:highlight w:val="none"/>
          <w:lang w:eastAsia="zh-CN"/>
        </w:rPr>
        <w:t>。</w:t>
      </w:r>
    </w:p>
    <w:p>
      <w:pPr>
        <w:pStyle w:val="45"/>
        <w:rPr>
          <w:rFonts w:hint="eastAsia"/>
          <w:highlight w:val="yellow"/>
        </w:rPr>
      </w:pPr>
      <w:r>
        <w:rPr>
          <w:rFonts w:hint="eastAsia"/>
          <w:lang w:val="en-US" w:eastAsia="zh-CN"/>
        </w:rPr>
        <w:t>14.</w:t>
      </w:r>
      <w:r>
        <w:rPr>
          <w:rFonts w:hint="eastAsia"/>
        </w:rPr>
        <w:t>一般公共服务（类）政府办公厅（室）及相关机构事务（款）一般行政管理事务（项）:</w:t>
      </w:r>
      <w:r>
        <w:rPr>
          <w:rFonts w:hint="eastAsia"/>
          <w:highlight w:val="none"/>
        </w:rPr>
        <w:t>机关及参公管理事业单位开展财政综合业务、预决算编审等未单独设置项级科目的专门性财政管理工作的项目支出。</w:t>
      </w:r>
    </w:p>
    <w:p>
      <w:pPr>
        <w:pStyle w:val="45"/>
        <w:rPr>
          <w:rFonts w:hint="eastAsia"/>
          <w:highlight w:val="none"/>
        </w:rPr>
      </w:pPr>
      <w:r>
        <w:rPr>
          <w:rFonts w:hint="eastAsia"/>
          <w:lang w:val="en-US" w:eastAsia="zh-CN"/>
        </w:rPr>
        <w:t>15</w:t>
      </w:r>
      <w:r>
        <w:rPr>
          <w:rFonts w:hint="eastAsia"/>
        </w:rPr>
        <w:t>.一般公共服务（类）政府办公厅（室）及相关机构事务（款）事业运行（项）:</w:t>
      </w:r>
      <w:r>
        <w:rPr>
          <w:rFonts w:hint="eastAsia"/>
          <w:highlight w:val="none"/>
        </w:rPr>
        <w:t>开展其他财政事务方面专门性工作任务的项目支出。</w:t>
      </w:r>
    </w:p>
    <w:p>
      <w:pPr>
        <w:pStyle w:val="45"/>
        <w:rPr>
          <w:rFonts w:hint="eastAsia"/>
          <w:highlight w:val="none"/>
        </w:rPr>
      </w:pPr>
      <w:r>
        <w:rPr>
          <w:rFonts w:hint="eastAsia"/>
          <w:highlight w:val="none"/>
        </w:rPr>
        <w:t>1</w:t>
      </w:r>
      <w:r>
        <w:rPr>
          <w:rFonts w:hint="eastAsia"/>
          <w:highlight w:val="none"/>
          <w:lang w:val="en-US" w:eastAsia="zh-CN"/>
        </w:rPr>
        <w:t>6</w:t>
      </w:r>
      <w:r>
        <w:rPr>
          <w:rFonts w:hint="eastAsia"/>
          <w:highlight w:val="none"/>
        </w:rPr>
        <w:t>.一般公共服务支出</w:t>
      </w:r>
      <w:r>
        <w:rPr>
          <w:rFonts w:hint="eastAsia"/>
        </w:rPr>
        <w:t>（类）</w:t>
      </w:r>
      <w:r>
        <w:rPr>
          <w:rFonts w:hint="eastAsia"/>
          <w:highlight w:val="none"/>
        </w:rPr>
        <w:t>其他共产党事务支出</w:t>
      </w:r>
      <w:r>
        <w:rPr>
          <w:rFonts w:hint="eastAsia"/>
        </w:rPr>
        <w:t>（款）</w:t>
      </w:r>
      <w:r>
        <w:rPr>
          <w:rFonts w:hint="eastAsia"/>
          <w:highlight w:val="none"/>
        </w:rPr>
        <w:t>行政运行</w:t>
      </w:r>
      <w:r>
        <w:rPr>
          <w:rFonts w:hint="eastAsia"/>
        </w:rPr>
        <w:t>（项）</w:t>
      </w:r>
      <w:r>
        <w:rPr>
          <w:rFonts w:hint="eastAsia"/>
          <w:highlight w:val="none"/>
        </w:rPr>
        <w:t>：</w:t>
      </w:r>
      <w:r>
        <w:rPr>
          <w:rFonts w:hint="eastAsia"/>
          <w:highlight w:val="none"/>
          <w:lang w:val="en-US" w:eastAsia="zh-CN"/>
        </w:rPr>
        <w:t>指</w:t>
      </w:r>
      <w:r>
        <w:rPr>
          <w:rFonts w:hint="eastAsia"/>
          <w:lang w:eastAsia="zh-CN"/>
        </w:rPr>
        <w:t>用于</w:t>
      </w:r>
      <w:r>
        <w:rPr>
          <w:rFonts w:hint="eastAsia"/>
          <w:highlight w:val="none"/>
        </w:rPr>
        <w:t>机关及参公管理事业单位</w:t>
      </w:r>
      <w:r>
        <w:rPr>
          <w:rFonts w:hint="eastAsia"/>
          <w:highlight w:val="none"/>
          <w:lang w:val="en-US" w:eastAsia="zh-CN"/>
        </w:rPr>
        <w:t>的</w:t>
      </w:r>
      <w:r>
        <w:rPr>
          <w:rFonts w:hint="eastAsia"/>
          <w:highlight w:val="none"/>
        </w:rPr>
        <w:t>其他共产党事务支出</w:t>
      </w:r>
      <w:r>
        <w:rPr>
          <w:rFonts w:hint="eastAsia"/>
          <w:highlight w:val="none"/>
          <w:lang w:val="en-US" w:eastAsia="zh-CN"/>
        </w:rPr>
        <w:t>的基本支出</w:t>
      </w:r>
      <w:r>
        <w:rPr>
          <w:rFonts w:hint="eastAsia"/>
          <w:highlight w:val="none"/>
        </w:rPr>
        <w:t>。</w:t>
      </w:r>
    </w:p>
    <w:p>
      <w:pPr>
        <w:pStyle w:val="45"/>
        <w:rPr>
          <w:rFonts w:hint="eastAsia"/>
          <w:highlight w:val="none"/>
        </w:rPr>
      </w:pPr>
      <w:r>
        <w:rPr>
          <w:rFonts w:hint="eastAsia"/>
          <w:highlight w:val="none"/>
          <w:lang w:val="en-US" w:eastAsia="zh-CN"/>
        </w:rPr>
        <w:t>17</w:t>
      </w:r>
      <w:r>
        <w:rPr>
          <w:rFonts w:hint="eastAsia"/>
          <w:highlight w:val="none"/>
        </w:rPr>
        <w:t>.一般公共服务支出</w:t>
      </w:r>
      <w:r>
        <w:rPr>
          <w:rFonts w:hint="eastAsia"/>
        </w:rPr>
        <w:t>（类）</w:t>
      </w:r>
      <w:r>
        <w:rPr>
          <w:rFonts w:hint="eastAsia"/>
          <w:highlight w:val="none"/>
        </w:rPr>
        <w:t>其他共产党事务支出</w:t>
      </w:r>
      <w:r>
        <w:rPr>
          <w:rFonts w:hint="eastAsia"/>
        </w:rPr>
        <w:t>（款）</w:t>
      </w:r>
      <w:r>
        <w:rPr>
          <w:rFonts w:hint="eastAsia"/>
          <w:highlight w:val="none"/>
        </w:rPr>
        <w:t xml:space="preserve"> 事业运行</w:t>
      </w:r>
      <w:r>
        <w:rPr>
          <w:rFonts w:hint="eastAsia"/>
        </w:rPr>
        <w:t>（项）</w:t>
      </w:r>
      <w:r>
        <w:rPr>
          <w:rFonts w:hint="eastAsia"/>
          <w:highlight w:val="none"/>
        </w:rPr>
        <w:t>：</w:t>
      </w:r>
      <w:r>
        <w:rPr>
          <w:rFonts w:hint="eastAsia"/>
          <w:highlight w:val="none"/>
          <w:lang w:val="en-US" w:eastAsia="zh-CN"/>
        </w:rPr>
        <w:t>指</w:t>
      </w:r>
      <w:r>
        <w:rPr>
          <w:rFonts w:hint="eastAsia"/>
          <w:lang w:eastAsia="zh-CN"/>
        </w:rPr>
        <w:t>用于</w:t>
      </w:r>
      <w:r>
        <w:rPr>
          <w:rFonts w:hint="eastAsia"/>
          <w:highlight w:val="none"/>
        </w:rPr>
        <w:t>机关及参公管理事业单位</w:t>
      </w:r>
      <w:r>
        <w:rPr>
          <w:rFonts w:hint="eastAsia"/>
          <w:highlight w:val="none"/>
          <w:lang w:val="en-US" w:eastAsia="zh-CN"/>
        </w:rPr>
        <w:t>的</w:t>
      </w:r>
      <w:r>
        <w:rPr>
          <w:rFonts w:hint="eastAsia"/>
          <w:highlight w:val="none"/>
        </w:rPr>
        <w:t>其他共产党事务支出</w:t>
      </w:r>
      <w:r>
        <w:rPr>
          <w:rFonts w:hint="eastAsia"/>
          <w:highlight w:val="none"/>
          <w:lang w:val="en-US" w:eastAsia="zh-CN"/>
        </w:rPr>
        <w:t>的项目支出</w:t>
      </w:r>
      <w:r>
        <w:rPr>
          <w:rFonts w:hint="eastAsia"/>
          <w:highlight w:val="none"/>
        </w:rPr>
        <w:t>。</w:t>
      </w:r>
    </w:p>
    <w:p>
      <w:pPr>
        <w:pStyle w:val="45"/>
        <w:rPr>
          <w:rFonts w:hint="eastAsia"/>
          <w:highlight w:val="none"/>
        </w:rPr>
      </w:pPr>
      <w:r>
        <w:rPr>
          <w:rFonts w:hint="eastAsia"/>
          <w:highlight w:val="none"/>
          <w:lang w:val="en-US" w:eastAsia="zh-CN"/>
        </w:rPr>
        <w:t>18</w:t>
      </w:r>
      <w:r>
        <w:rPr>
          <w:rFonts w:hint="eastAsia"/>
          <w:highlight w:val="none"/>
        </w:rPr>
        <w:t>.教育支出</w:t>
      </w:r>
      <w:r>
        <w:rPr>
          <w:rFonts w:hint="eastAsia"/>
        </w:rPr>
        <w:t>（类）</w:t>
      </w:r>
      <w:r>
        <w:rPr>
          <w:rFonts w:hint="eastAsia"/>
          <w:highlight w:val="none"/>
        </w:rPr>
        <w:t>进修及培训</w:t>
      </w:r>
      <w:r>
        <w:rPr>
          <w:rFonts w:hint="eastAsia"/>
        </w:rPr>
        <w:t>（款）</w:t>
      </w:r>
      <w:r>
        <w:rPr>
          <w:rFonts w:hint="eastAsia"/>
          <w:highlight w:val="none"/>
        </w:rPr>
        <w:t>干部教育</w:t>
      </w:r>
      <w:r>
        <w:rPr>
          <w:rFonts w:hint="eastAsia"/>
        </w:rPr>
        <w:t>（项）</w:t>
      </w:r>
      <w:r>
        <w:rPr>
          <w:rFonts w:hint="eastAsia"/>
          <w:highlight w:val="none"/>
        </w:rPr>
        <w:t>：</w:t>
      </w:r>
      <w:r>
        <w:rPr>
          <w:rFonts w:hint="eastAsia"/>
          <w:highlight w:val="none"/>
          <w:lang w:val="en-US" w:eastAsia="zh-CN"/>
        </w:rPr>
        <w:t>指</w:t>
      </w:r>
      <w:r>
        <w:rPr>
          <w:rFonts w:hint="eastAsia"/>
          <w:highlight w:val="none"/>
        </w:rPr>
        <w:t>机关及参公管理事业单位</w:t>
      </w:r>
      <w:r>
        <w:rPr>
          <w:rFonts w:hint="eastAsia"/>
          <w:highlight w:val="none"/>
          <w:lang w:val="en-US" w:eastAsia="zh-CN"/>
        </w:rPr>
        <w:t>干部的进修及培训支出</w:t>
      </w:r>
      <w:r>
        <w:rPr>
          <w:rFonts w:hint="eastAsia"/>
          <w:highlight w:val="none"/>
        </w:rPr>
        <w:t>。</w:t>
      </w:r>
    </w:p>
    <w:p>
      <w:pPr>
        <w:pStyle w:val="45"/>
        <w:rPr>
          <w:rFonts w:hint="eastAsia" w:eastAsia="仿宋_GB2312"/>
          <w:highlight w:val="none"/>
          <w:lang w:eastAsia="zh-CN"/>
        </w:rPr>
      </w:pPr>
      <w:r>
        <w:rPr>
          <w:rFonts w:hint="eastAsia"/>
          <w:highlight w:val="none"/>
          <w:lang w:val="en-US" w:eastAsia="zh-CN"/>
        </w:rPr>
        <w:t>19.</w:t>
      </w:r>
      <w:r>
        <w:rPr>
          <w:rFonts w:hint="eastAsia"/>
          <w:highlight w:val="none"/>
        </w:rPr>
        <w:t>科学技术支出</w:t>
      </w:r>
      <w:r>
        <w:rPr>
          <w:rFonts w:hint="eastAsia"/>
        </w:rPr>
        <w:t>（类）</w:t>
      </w:r>
      <w:r>
        <w:rPr>
          <w:rFonts w:hint="eastAsia"/>
          <w:highlight w:val="none"/>
        </w:rPr>
        <w:t>）社会科学</w:t>
      </w:r>
      <w:r>
        <w:rPr>
          <w:rFonts w:hint="eastAsia"/>
        </w:rPr>
        <w:t>（款）</w:t>
      </w:r>
      <w:r>
        <w:rPr>
          <w:rFonts w:hint="eastAsia"/>
          <w:highlight w:val="none"/>
        </w:rPr>
        <w:t>其他社会科学支出</w:t>
      </w:r>
      <w:r>
        <w:rPr>
          <w:rFonts w:hint="eastAsia"/>
        </w:rPr>
        <w:t>（项）</w:t>
      </w:r>
      <w:r>
        <w:rPr>
          <w:rFonts w:hint="eastAsia"/>
          <w:lang w:eastAsia="zh-CN"/>
        </w:rPr>
        <w:t>：</w:t>
      </w:r>
      <w:r>
        <w:rPr>
          <w:rFonts w:hint="eastAsia"/>
          <w:lang w:val="en-US" w:eastAsia="zh-CN"/>
        </w:rPr>
        <w:t>指</w:t>
      </w:r>
      <w:r>
        <w:rPr>
          <w:rFonts w:hint="eastAsia"/>
          <w:highlight w:val="none"/>
        </w:rPr>
        <w:t>机关及参公管理事业单位其他社会科学支出</w:t>
      </w:r>
      <w:r>
        <w:rPr>
          <w:rFonts w:hint="eastAsia"/>
          <w:highlight w:val="none"/>
          <w:lang w:eastAsia="zh-CN"/>
        </w:rPr>
        <w:t>。</w:t>
      </w:r>
    </w:p>
    <w:p>
      <w:pPr>
        <w:pStyle w:val="45"/>
        <w:rPr>
          <w:rFonts w:hint="eastAsia"/>
        </w:rPr>
      </w:pPr>
      <w:r>
        <w:rPr>
          <w:rFonts w:hint="eastAsia"/>
          <w:lang w:val="en-US" w:eastAsia="zh-CN"/>
        </w:rPr>
        <w:t>20</w:t>
      </w:r>
      <w:r>
        <w:rPr>
          <w:rFonts w:hint="eastAsia"/>
        </w:rPr>
        <w:t>.文化旅游体育与传媒支出（类）文化旅游（款）群众文化（项）：反映群众文化方面的支出，包括基层文化馆（站）、群众文化艺术馆支出等</w:t>
      </w:r>
      <w:r>
        <w:rPr>
          <w:rFonts w:hint="eastAsia"/>
          <w:lang w:eastAsia="zh-CN"/>
        </w:rPr>
        <w:t>。</w:t>
      </w:r>
    </w:p>
    <w:p>
      <w:pPr>
        <w:pStyle w:val="45"/>
        <w:rPr>
          <w:rFonts w:hint="eastAsia"/>
        </w:rPr>
      </w:pPr>
      <w:r>
        <w:rPr>
          <w:rFonts w:hint="eastAsia"/>
          <w:lang w:val="en-US" w:eastAsia="zh-CN"/>
        </w:rPr>
        <w:t>21</w:t>
      </w:r>
      <w:r>
        <w:rPr>
          <w:rFonts w:hint="eastAsia"/>
        </w:rPr>
        <w:t>．社会保障和就业支出（类）人力资源和社会保障管理事务（款）其他人力资源和社会保障管理事务支出（项）：反映其他用于人力资源和社会保障管理事务方面的支出。</w:t>
      </w:r>
    </w:p>
    <w:p>
      <w:pPr>
        <w:pStyle w:val="45"/>
        <w:rPr>
          <w:rFonts w:hint="eastAsia"/>
        </w:rPr>
      </w:pPr>
      <w:r>
        <w:rPr>
          <w:rFonts w:hint="eastAsia"/>
          <w:lang w:val="en-US" w:eastAsia="zh-CN"/>
        </w:rPr>
        <w:t>22</w:t>
      </w:r>
      <w:r>
        <w:rPr>
          <w:rFonts w:hint="eastAsia"/>
        </w:rPr>
        <w:t>．社会保障和就业支出（类）民政管理事务（款）基层政权建设和社区治理（项）：反映开展城乡社区治理、城乡社区服务（乡村便民服务）、村（居）务公开、乡镇（街道）服务能力建设等基层政权建设和社区治理工作的支出。</w:t>
      </w:r>
    </w:p>
    <w:p>
      <w:pPr>
        <w:pStyle w:val="45"/>
        <w:rPr>
          <w:rFonts w:hint="eastAsia"/>
        </w:rPr>
      </w:pPr>
      <w:r>
        <w:rPr>
          <w:rFonts w:hint="eastAsia"/>
          <w:lang w:val="en-US" w:eastAsia="zh-CN"/>
        </w:rPr>
        <w:t>23</w:t>
      </w:r>
      <w:r>
        <w:rPr>
          <w:rFonts w:hint="eastAsia"/>
        </w:rPr>
        <w:t>．社会保障和就业支出（类）民政管理事务（款）其他民政管理事务支出（项）：反映民政部门接待来访、法制建设、政策宣传方面的支出，以及开展社会救助、社会福利、养老服务、社会事务、信息化建设等方面的支出。</w:t>
      </w:r>
    </w:p>
    <w:p>
      <w:pPr>
        <w:pStyle w:val="45"/>
        <w:rPr>
          <w:rFonts w:hint="eastAsia"/>
        </w:rPr>
      </w:pPr>
      <w:r>
        <w:rPr>
          <w:rFonts w:hint="eastAsia"/>
          <w:lang w:val="en-US" w:eastAsia="zh-CN"/>
        </w:rPr>
        <w:t>24</w:t>
      </w:r>
      <w:r>
        <w:rPr>
          <w:rFonts w:hint="eastAsia"/>
        </w:rPr>
        <w:t>．社会保障和就业支出（类）行政事业单位养老支出（款）机关事业单位基本养老保险缴费支出（项）：反映机关事业单位实施养老保险制度由单位缴纳的基本养老保险费的支出。</w:t>
      </w:r>
    </w:p>
    <w:p>
      <w:pPr>
        <w:pStyle w:val="45"/>
        <w:rPr>
          <w:rFonts w:hint="eastAsia"/>
        </w:rPr>
      </w:pPr>
      <w:r>
        <w:rPr>
          <w:rFonts w:hint="eastAsia"/>
          <w:lang w:val="en-US" w:eastAsia="zh-CN"/>
        </w:rPr>
        <w:t>25</w:t>
      </w:r>
      <w:r>
        <w:rPr>
          <w:rFonts w:hint="eastAsia"/>
        </w:rPr>
        <w:t>．社会保障和就业支出（类）行政事业单位养老支出（款）机关事业单位职业年金缴费支出（项）：反映机关事业单位实施养老保险制度由单位世纪缴纳的职业年金支出。</w:t>
      </w:r>
    </w:p>
    <w:p>
      <w:pPr>
        <w:pStyle w:val="45"/>
        <w:rPr>
          <w:rFonts w:hint="eastAsia"/>
        </w:rPr>
      </w:pPr>
      <w:r>
        <w:rPr>
          <w:rFonts w:hint="eastAsia"/>
          <w:lang w:val="en-US" w:eastAsia="zh-CN"/>
        </w:rPr>
        <w:t>26</w:t>
      </w:r>
      <w:r>
        <w:rPr>
          <w:rFonts w:hint="eastAsia"/>
        </w:rPr>
        <w:t>．社会保障和就业支出（类）行政事业单位养老支出（款）其他行政事业单位基本养老支出（项）：反映除上述项目以外其他用于行政事业单位养老方面的支出。</w:t>
      </w:r>
    </w:p>
    <w:p>
      <w:pPr>
        <w:pStyle w:val="45"/>
        <w:rPr>
          <w:rFonts w:hint="eastAsia"/>
        </w:rPr>
      </w:pPr>
      <w:r>
        <w:rPr>
          <w:rFonts w:hint="eastAsia"/>
          <w:lang w:val="en-US" w:eastAsia="zh-CN"/>
        </w:rPr>
        <w:t>27</w:t>
      </w:r>
      <w:r>
        <w:rPr>
          <w:rFonts w:hint="eastAsia"/>
        </w:rPr>
        <w:t>．社会保障和就业支出（类）抚恤（款）其他优抚支出（项）：反映用于义务兵优待、死亡伤残抚恤等以外的其他优抚支出。</w:t>
      </w:r>
    </w:p>
    <w:p>
      <w:pPr>
        <w:pStyle w:val="45"/>
        <w:rPr>
          <w:rFonts w:hint="eastAsia"/>
        </w:rPr>
      </w:pPr>
      <w:r>
        <w:rPr>
          <w:rFonts w:hint="eastAsia"/>
          <w:lang w:val="en-US" w:eastAsia="zh-CN"/>
        </w:rPr>
        <w:t>28</w:t>
      </w:r>
      <w:r>
        <w:rPr>
          <w:rFonts w:hint="eastAsia"/>
        </w:rPr>
        <w:t>．社会保障和就业支出（类）其他社会保障和就业支出（款）其他社会保障和就业支出（项）：反映除上述项目以外其他用于社会保障和就业方面的支出。</w:t>
      </w:r>
    </w:p>
    <w:p>
      <w:pPr>
        <w:pStyle w:val="45"/>
        <w:rPr>
          <w:rFonts w:hint="eastAsia"/>
        </w:rPr>
      </w:pPr>
      <w:r>
        <w:rPr>
          <w:rFonts w:hint="eastAsia"/>
        </w:rPr>
        <w:t>2</w:t>
      </w:r>
      <w:r>
        <w:rPr>
          <w:rFonts w:hint="eastAsia"/>
          <w:lang w:val="en-US" w:eastAsia="zh-CN"/>
        </w:rPr>
        <w:t>9</w:t>
      </w:r>
      <w:r>
        <w:rPr>
          <w:rFonts w:hint="eastAsia"/>
        </w:rPr>
        <w:t>．卫生健康支出（类）公共卫生（款）采供血机构（项）：反映卫生健康部门所属采供血机构的支出。</w:t>
      </w:r>
    </w:p>
    <w:p>
      <w:pPr>
        <w:pStyle w:val="45"/>
        <w:rPr>
          <w:rFonts w:hint="eastAsia"/>
        </w:rPr>
      </w:pPr>
      <w:r>
        <w:rPr>
          <w:rFonts w:hint="eastAsia"/>
          <w:lang w:val="en-US" w:eastAsia="zh-CN"/>
        </w:rPr>
        <w:t>30</w:t>
      </w:r>
      <w:r>
        <w:rPr>
          <w:rFonts w:hint="eastAsia"/>
        </w:rPr>
        <w:t>．卫生健康支出（类）行政事业单位医疗（款）行政单位医疗（项）：指行政单位及参公管理事业单位用于缴纳单位基本医疗保险支出。</w:t>
      </w:r>
    </w:p>
    <w:p>
      <w:pPr>
        <w:pStyle w:val="45"/>
        <w:rPr>
          <w:rFonts w:hint="eastAsia"/>
        </w:rPr>
      </w:pPr>
      <w:r>
        <w:rPr>
          <w:rFonts w:hint="eastAsia"/>
          <w:lang w:val="en-US" w:eastAsia="zh-CN"/>
        </w:rPr>
        <w:t>31</w:t>
      </w:r>
      <w:r>
        <w:rPr>
          <w:rFonts w:hint="eastAsia"/>
        </w:rPr>
        <w:t>．卫生健康支出（类）行政事业单位医疗（款）事业单位医疗（项）：指事业单位用于缴纳单位基本医疗保险支出。</w:t>
      </w:r>
    </w:p>
    <w:p>
      <w:pPr>
        <w:pStyle w:val="45"/>
        <w:rPr>
          <w:rFonts w:hint="eastAsia"/>
        </w:rPr>
      </w:pPr>
      <w:r>
        <w:rPr>
          <w:rFonts w:hint="eastAsia"/>
          <w:lang w:val="en-US" w:eastAsia="zh-CN"/>
        </w:rPr>
        <w:t>32</w:t>
      </w:r>
      <w:r>
        <w:rPr>
          <w:rFonts w:hint="eastAsia"/>
        </w:rPr>
        <w:t>．城乡社区支出（类）城乡社区公共设施（款）其他城乡社区公共设施支出（项）：反映其他用于城乡社区公共设施方面的支出。</w:t>
      </w:r>
    </w:p>
    <w:p>
      <w:pPr>
        <w:pStyle w:val="45"/>
        <w:rPr>
          <w:rFonts w:hint="eastAsia"/>
        </w:rPr>
      </w:pPr>
      <w:r>
        <w:rPr>
          <w:rFonts w:hint="eastAsia"/>
          <w:lang w:val="en-US" w:eastAsia="zh-CN"/>
        </w:rPr>
        <w:t>33</w:t>
      </w:r>
      <w:r>
        <w:rPr>
          <w:rFonts w:hint="eastAsia"/>
        </w:rPr>
        <w:t>．城乡社区支出（类）城乡社区环境卫生（款）城乡社区环境卫生（项）：反映城乡社区道路清扫、垃圾清运与处理、公厕建设与维护、园林绿化等方面的支出。</w:t>
      </w:r>
    </w:p>
    <w:p>
      <w:pPr>
        <w:pStyle w:val="45"/>
        <w:rPr>
          <w:rFonts w:hint="eastAsia"/>
        </w:rPr>
      </w:pPr>
      <w:r>
        <w:rPr>
          <w:rFonts w:hint="eastAsia"/>
          <w:lang w:val="en-US" w:eastAsia="zh-CN"/>
        </w:rPr>
        <w:t>34</w:t>
      </w:r>
      <w:r>
        <w:rPr>
          <w:rFonts w:hint="eastAsia"/>
        </w:rPr>
        <w:t>．农林水支出（类）农业农村（款）事业运行（项）：反映用于农业事业单位方面的基本支出。</w:t>
      </w:r>
    </w:p>
    <w:p>
      <w:pPr>
        <w:pStyle w:val="45"/>
        <w:rPr>
          <w:rFonts w:hint="eastAsia"/>
        </w:rPr>
      </w:pPr>
      <w:r>
        <w:rPr>
          <w:rFonts w:hint="eastAsia"/>
          <w:lang w:val="en-US" w:eastAsia="zh-CN"/>
        </w:rPr>
        <w:t>35</w:t>
      </w:r>
      <w:r>
        <w:rPr>
          <w:rFonts w:hint="eastAsia"/>
        </w:rPr>
        <w:t>．农林水支出（类）农业农村（款）其他农业农村支出（项）：反映除上述项目以外其他用于农业农村方面的支出。</w:t>
      </w:r>
    </w:p>
    <w:p>
      <w:pPr>
        <w:pStyle w:val="45"/>
        <w:rPr>
          <w:rFonts w:hint="eastAsia"/>
        </w:rPr>
      </w:pPr>
      <w:r>
        <w:rPr>
          <w:rFonts w:hint="eastAsia"/>
          <w:lang w:val="en-US" w:eastAsia="zh-CN"/>
        </w:rPr>
        <w:t>36</w:t>
      </w:r>
      <w:r>
        <w:rPr>
          <w:rFonts w:hint="eastAsia"/>
        </w:rPr>
        <w:t>．农林水支出（类）农村综合改革（款）对村民委员会和村党支部的补助（项）：反映各级财政对村民委员会和村党支部的补助支出，以及支持建立县级基本财力保障机制安排的村级组织运转奖补资金。</w:t>
      </w:r>
    </w:p>
    <w:p>
      <w:pPr>
        <w:pStyle w:val="45"/>
        <w:rPr>
          <w:rFonts w:hint="eastAsia"/>
        </w:rPr>
      </w:pPr>
      <w:r>
        <w:rPr>
          <w:rFonts w:hint="eastAsia"/>
          <w:lang w:val="en-US" w:eastAsia="zh-CN"/>
        </w:rPr>
        <w:t>37</w:t>
      </w:r>
      <w:r>
        <w:rPr>
          <w:rFonts w:hint="eastAsia"/>
        </w:rPr>
        <w:t>．农林水支出（类）农村综合改革（款）农村综合改革示范试点补助（项）：反映各级财政对农村综合改革示范试点、新型农业社会化服务体系建设等补助支出。</w:t>
      </w:r>
    </w:p>
    <w:p>
      <w:pPr>
        <w:pStyle w:val="45"/>
        <w:rPr>
          <w:rFonts w:hint="eastAsia"/>
        </w:rPr>
      </w:pPr>
      <w:r>
        <w:rPr>
          <w:rFonts w:hint="eastAsia"/>
          <w:lang w:val="en-US" w:eastAsia="zh-CN"/>
        </w:rPr>
        <w:t>38</w:t>
      </w:r>
      <w:r>
        <w:rPr>
          <w:rFonts w:hint="eastAsia"/>
        </w:rPr>
        <w:t>．社会保障和就业支出（类）人力资源和社会保障管理事务（款）其他人力资源和社会保障管理事务支出（项）:指离退休人员的支出。</w:t>
      </w:r>
    </w:p>
    <w:p>
      <w:pPr>
        <w:pStyle w:val="45"/>
        <w:rPr>
          <w:rFonts w:hint="eastAsia"/>
        </w:rPr>
      </w:pPr>
      <w:r>
        <w:rPr>
          <w:rFonts w:hint="eastAsia"/>
          <w:lang w:val="en-US" w:eastAsia="zh-CN"/>
        </w:rPr>
        <w:t>39</w:t>
      </w:r>
      <w:r>
        <w:rPr>
          <w:rFonts w:hint="eastAsia"/>
        </w:rPr>
        <w:t>.社会保障和就业支出（类）民政管理事务（款）基层政权建设和社区治理（项）:基层政权和社区治理的工作经费支出。</w:t>
      </w:r>
    </w:p>
    <w:p>
      <w:pPr>
        <w:pStyle w:val="45"/>
        <w:rPr>
          <w:rFonts w:hint="eastAsia"/>
        </w:rPr>
      </w:pPr>
      <w:r>
        <w:rPr>
          <w:rFonts w:hint="eastAsia"/>
          <w:lang w:val="en-US" w:eastAsia="zh-CN"/>
        </w:rPr>
        <w:t>40</w:t>
      </w:r>
      <w:r>
        <w:rPr>
          <w:rFonts w:hint="eastAsia"/>
        </w:rPr>
        <w:t>.社会保障和就业支出（类）行政事业单位养老支出（款）行政单位离退休（项）:</w:t>
      </w:r>
      <w:r>
        <w:rPr>
          <w:rFonts w:hint="eastAsia"/>
          <w:lang w:eastAsia="zh-CN"/>
        </w:rPr>
        <w:t>指</w:t>
      </w:r>
      <w:r>
        <w:rPr>
          <w:rFonts w:hint="eastAsia"/>
        </w:rPr>
        <w:t>部门行政单位（本级）和下属单位离、退休人</w:t>
      </w:r>
      <w:r>
        <w:rPr>
          <w:rFonts w:hint="eastAsia"/>
          <w:color w:val="auto"/>
        </w:rPr>
        <w:t>员</w:t>
      </w:r>
      <w:r>
        <w:rPr>
          <w:rFonts w:hint="eastAsia"/>
          <w:color w:val="auto"/>
          <w:lang w:eastAsia="zh-CN"/>
        </w:rPr>
        <w:t>的</w:t>
      </w:r>
      <w:r>
        <w:rPr>
          <w:rFonts w:hint="eastAsia"/>
          <w:color w:val="auto"/>
        </w:rPr>
        <w:t>支出。</w:t>
      </w:r>
      <w:r>
        <w:rPr>
          <w:rFonts w:hint="eastAsia"/>
        </w:rPr>
        <w:t xml:space="preserve"> </w:t>
      </w:r>
    </w:p>
    <w:p>
      <w:pPr>
        <w:pStyle w:val="45"/>
        <w:rPr>
          <w:rFonts w:hint="eastAsia" w:eastAsia="仿宋_GB2312"/>
          <w:lang w:eastAsia="zh-CN"/>
        </w:rPr>
      </w:pPr>
      <w:r>
        <w:rPr>
          <w:rFonts w:hint="eastAsia"/>
          <w:lang w:val="en-US" w:eastAsia="zh-CN"/>
        </w:rPr>
        <w:t>41</w:t>
      </w:r>
      <w:r>
        <w:rPr>
          <w:rFonts w:hint="eastAsia"/>
        </w:rPr>
        <w:t>.社会保障和就业支出（类）行政事业单位养老支出（款）机关事业单位基本养老保险缴费支出（项）:部门实施养老保险制度由单位缴纳的养老保险费的支出</w:t>
      </w:r>
      <w:r>
        <w:rPr>
          <w:rFonts w:hint="eastAsia"/>
          <w:lang w:eastAsia="zh-CN"/>
        </w:rPr>
        <w:t>。</w:t>
      </w:r>
    </w:p>
    <w:p>
      <w:pPr>
        <w:pStyle w:val="45"/>
        <w:rPr>
          <w:rFonts w:hint="eastAsia"/>
        </w:rPr>
      </w:pPr>
      <w:r>
        <w:rPr>
          <w:rFonts w:hint="eastAsia"/>
          <w:lang w:val="en-US" w:eastAsia="zh-CN"/>
        </w:rPr>
        <w:t>42</w:t>
      </w:r>
      <w:r>
        <w:rPr>
          <w:rFonts w:hint="eastAsia"/>
          <w:color w:val="auto"/>
        </w:rPr>
        <w:t>.社会保障和就业支出（类）抚恤（款）其他优抚支出（项）:反映其他用于优抚方面的支出。</w:t>
      </w:r>
      <w:r>
        <w:rPr>
          <w:rFonts w:hint="eastAsia"/>
          <w:color w:val="1F497D"/>
        </w:rPr>
        <w:t xml:space="preserve"> </w:t>
      </w:r>
    </w:p>
    <w:p>
      <w:pPr>
        <w:pStyle w:val="45"/>
        <w:rPr>
          <w:rFonts w:hint="eastAsia"/>
        </w:rPr>
      </w:pPr>
      <w:r>
        <w:rPr>
          <w:rFonts w:hint="eastAsia"/>
          <w:lang w:val="en-US" w:eastAsia="zh-CN"/>
        </w:rPr>
        <w:t>43</w:t>
      </w:r>
      <w:r>
        <w:rPr>
          <w:rFonts w:hint="eastAsia"/>
        </w:rPr>
        <w:t>.社会保障和就业支出（类）残疾人事业（款）其他残疾人事业支出（项）:指残疾人保证金的支出。</w:t>
      </w:r>
    </w:p>
    <w:p>
      <w:pPr>
        <w:pStyle w:val="45"/>
        <w:ind w:left="0" w:leftChars="0" w:firstLine="640" w:firstLineChars="200"/>
        <w:rPr>
          <w:rFonts w:hint="eastAsia"/>
          <w:highlight w:val="yellow"/>
        </w:rPr>
      </w:pPr>
      <w:r>
        <w:rPr>
          <w:rFonts w:hint="eastAsia"/>
          <w:lang w:val="en-US" w:eastAsia="zh-CN"/>
        </w:rPr>
        <w:t>44</w:t>
      </w:r>
      <w:r>
        <w:rPr>
          <w:rFonts w:hint="eastAsia"/>
        </w:rPr>
        <w:t>.社会保障和就业支出（类）其他社会保障和就业支出（款）其他社会保障和就业支出（项）:指除上述项目外，其他用于行政事业单位社会保障和就业方面的支出。</w:t>
      </w:r>
    </w:p>
    <w:p>
      <w:pPr>
        <w:pStyle w:val="45"/>
        <w:rPr>
          <w:rFonts w:hint="eastAsia"/>
          <w:lang w:val="en-US" w:eastAsia="zh-CN"/>
        </w:rPr>
      </w:pPr>
      <w:r>
        <w:rPr>
          <w:rFonts w:hint="eastAsia"/>
          <w:lang w:val="en-US" w:eastAsia="zh-CN"/>
        </w:rPr>
        <w:t>45.</w:t>
      </w:r>
      <w:r>
        <w:rPr>
          <w:rFonts w:hint="eastAsia"/>
        </w:rPr>
        <w:t>农林水支出（类）</w:t>
      </w:r>
      <w:r>
        <w:rPr>
          <w:rFonts w:hint="eastAsia"/>
          <w:lang w:eastAsia="zh-CN"/>
        </w:rPr>
        <w:t>扶贫</w:t>
      </w:r>
      <w:r>
        <w:rPr>
          <w:rFonts w:hint="eastAsia"/>
        </w:rPr>
        <w:t>（款）</w:t>
      </w:r>
      <w:r>
        <w:rPr>
          <w:rFonts w:hint="eastAsia"/>
          <w:lang w:eastAsia="zh-CN"/>
        </w:rPr>
        <w:t>其他扶贫支出</w:t>
      </w:r>
      <w:r>
        <w:rPr>
          <w:rFonts w:hint="eastAsia"/>
        </w:rPr>
        <w:t>（项）</w:t>
      </w:r>
      <w:r>
        <w:rPr>
          <w:rFonts w:hint="eastAsia"/>
          <w:lang w:eastAsia="zh-CN"/>
        </w:rPr>
        <w:t>：</w:t>
      </w:r>
      <w:r>
        <w:rPr>
          <w:rFonts w:hint="eastAsia"/>
        </w:rPr>
        <w:t>指对</w:t>
      </w:r>
      <w:r>
        <w:rPr>
          <w:rFonts w:hint="eastAsia"/>
          <w:lang w:eastAsia="zh-CN"/>
        </w:rPr>
        <w:t>其他扶贫</w:t>
      </w:r>
      <w:r>
        <w:rPr>
          <w:rFonts w:hint="eastAsia"/>
          <w:lang w:val="en-US" w:eastAsia="zh-CN"/>
        </w:rPr>
        <w:t>的支出。</w:t>
      </w:r>
    </w:p>
    <w:p>
      <w:pPr>
        <w:pStyle w:val="45"/>
        <w:rPr>
          <w:rFonts w:hint="default"/>
          <w:lang w:val="en-US" w:eastAsia="zh-CN"/>
        </w:rPr>
      </w:pPr>
      <w:r>
        <w:rPr>
          <w:rFonts w:hint="eastAsia"/>
          <w:lang w:val="en-US" w:eastAsia="zh-CN"/>
        </w:rPr>
        <w:t>46</w:t>
      </w:r>
      <w:r>
        <w:rPr>
          <w:rFonts w:hint="default"/>
          <w:lang w:val="en-US" w:eastAsia="zh-CN"/>
        </w:rPr>
        <w:t>.住房保障支出</w:t>
      </w:r>
      <w:r>
        <w:rPr>
          <w:rFonts w:hint="eastAsia"/>
          <w:lang w:val="en-US" w:eastAsia="zh-CN"/>
        </w:rPr>
        <w:t>（类）</w:t>
      </w:r>
      <w:r>
        <w:rPr>
          <w:rFonts w:hint="default"/>
          <w:lang w:val="en-US" w:eastAsia="zh-CN"/>
        </w:rPr>
        <w:t>保障性安居工程支出</w:t>
      </w:r>
      <w:r>
        <w:rPr>
          <w:rFonts w:hint="eastAsia"/>
        </w:rPr>
        <w:t>（款）</w:t>
      </w:r>
      <w:r>
        <w:rPr>
          <w:rFonts w:hint="default"/>
          <w:lang w:val="en-US" w:eastAsia="zh-CN"/>
        </w:rPr>
        <w:t>农村危房改造</w:t>
      </w:r>
      <w:r>
        <w:rPr>
          <w:rFonts w:hint="eastAsia"/>
        </w:rPr>
        <w:t>（项）</w:t>
      </w:r>
      <w:r>
        <w:rPr>
          <w:rFonts w:hint="default"/>
          <w:lang w:val="en-US" w:eastAsia="zh-CN"/>
        </w:rPr>
        <w:t>：</w:t>
      </w:r>
      <w:r>
        <w:rPr>
          <w:rFonts w:hint="eastAsia"/>
        </w:rPr>
        <w:t>指对</w:t>
      </w:r>
      <w:r>
        <w:rPr>
          <w:rFonts w:hint="default"/>
          <w:lang w:val="en-US" w:eastAsia="zh-CN"/>
        </w:rPr>
        <w:t>保障性安居工程</w:t>
      </w:r>
      <w:r>
        <w:rPr>
          <w:rFonts w:hint="eastAsia"/>
          <w:lang w:val="en-US" w:eastAsia="zh-CN"/>
        </w:rPr>
        <w:t>的</w:t>
      </w:r>
      <w:r>
        <w:rPr>
          <w:rFonts w:hint="default"/>
          <w:lang w:val="en-US" w:eastAsia="zh-CN"/>
        </w:rPr>
        <w:t>农村危房改造</w:t>
      </w:r>
      <w:r>
        <w:rPr>
          <w:rFonts w:hint="eastAsia"/>
          <w:lang w:val="en-US" w:eastAsia="zh-CN"/>
        </w:rPr>
        <w:t>的支出。</w:t>
      </w:r>
    </w:p>
    <w:p>
      <w:pPr>
        <w:pStyle w:val="45"/>
        <w:rPr>
          <w:rFonts w:hint="default"/>
          <w:lang w:val="en-US" w:eastAsia="zh-CN"/>
        </w:rPr>
      </w:pPr>
      <w:r>
        <w:rPr>
          <w:rFonts w:hint="eastAsia"/>
          <w:lang w:val="en-US" w:eastAsia="zh-CN"/>
        </w:rPr>
        <w:t>47</w:t>
      </w:r>
      <w:r>
        <w:rPr>
          <w:rFonts w:hint="default"/>
          <w:lang w:val="en-US" w:eastAsia="zh-CN"/>
        </w:rPr>
        <w:t>.住房保障支出</w:t>
      </w:r>
      <w:r>
        <w:rPr>
          <w:rFonts w:hint="eastAsia"/>
          <w:lang w:val="en-US" w:eastAsia="zh-CN"/>
        </w:rPr>
        <w:t>（类）</w:t>
      </w:r>
      <w:r>
        <w:rPr>
          <w:rFonts w:hint="default"/>
          <w:lang w:val="en-US" w:eastAsia="zh-CN"/>
        </w:rPr>
        <w:t>保障性安居工程支出</w:t>
      </w:r>
      <w:r>
        <w:rPr>
          <w:rFonts w:hint="eastAsia"/>
        </w:rPr>
        <w:t>（款）</w:t>
      </w:r>
      <w:r>
        <w:rPr>
          <w:rFonts w:hint="default"/>
          <w:lang w:val="en-US" w:eastAsia="zh-CN"/>
        </w:rPr>
        <w:t>老旧小区改造</w:t>
      </w:r>
      <w:r>
        <w:rPr>
          <w:rFonts w:hint="eastAsia"/>
        </w:rPr>
        <w:t>（项）</w:t>
      </w:r>
      <w:r>
        <w:rPr>
          <w:rFonts w:hint="default"/>
          <w:lang w:val="en-US" w:eastAsia="zh-CN"/>
        </w:rPr>
        <w:t>：</w:t>
      </w:r>
      <w:r>
        <w:rPr>
          <w:rFonts w:hint="eastAsia"/>
        </w:rPr>
        <w:t>指对</w:t>
      </w:r>
      <w:r>
        <w:rPr>
          <w:rFonts w:hint="default"/>
          <w:lang w:val="en-US" w:eastAsia="zh-CN"/>
        </w:rPr>
        <w:t>保障性安居工程</w:t>
      </w:r>
      <w:r>
        <w:rPr>
          <w:rFonts w:hint="eastAsia"/>
          <w:lang w:val="en-US" w:eastAsia="zh-CN"/>
        </w:rPr>
        <w:t>的</w:t>
      </w:r>
      <w:r>
        <w:rPr>
          <w:rFonts w:hint="default"/>
          <w:lang w:val="en-US" w:eastAsia="zh-CN"/>
        </w:rPr>
        <w:t>老旧小区改造</w:t>
      </w:r>
      <w:r>
        <w:rPr>
          <w:rFonts w:hint="eastAsia"/>
          <w:lang w:val="en-US" w:eastAsia="zh-CN"/>
        </w:rPr>
        <w:t>的支出。</w:t>
      </w:r>
    </w:p>
    <w:p>
      <w:pPr>
        <w:pStyle w:val="45"/>
        <w:rPr>
          <w:rFonts w:hint="default"/>
          <w:lang w:val="en-US" w:eastAsia="zh-CN"/>
        </w:rPr>
      </w:pPr>
      <w:r>
        <w:rPr>
          <w:rFonts w:hint="eastAsia"/>
          <w:lang w:val="en-US" w:eastAsia="zh-CN"/>
        </w:rPr>
        <w:t>48</w:t>
      </w:r>
      <w:r>
        <w:rPr>
          <w:rFonts w:hint="default"/>
          <w:lang w:val="en-US" w:eastAsia="zh-CN"/>
        </w:rPr>
        <w:t>.住房保障支出</w:t>
      </w:r>
      <w:r>
        <w:rPr>
          <w:rFonts w:hint="eastAsia"/>
          <w:lang w:val="en-US" w:eastAsia="zh-CN"/>
        </w:rPr>
        <w:t>（类）</w:t>
      </w:r>
      <w:r>
        <w:rPr>
          <w:rFonts w:hint="default"/>
          <w:lang w:val="en-US" w:eastAsia="zh-CN"/>
        </w:rPr>
        <w:t>保障性安居工程支出</w:t>
      </w:r>
      <w:r>
        <w:rPr>
          <w:rFonts w:hint="eastAsia"/>
        </w:rPr>
        <w:t>（款）</w:t>
      </w:r>
      <w:r>
        <w:rPr>
          <w:rFonts w:hint="default"/>
          <w:lang w:val="en-US" w:eastAsia="zh-CN"/>
        </w:rPr>
        <w:t>其他保障性安居工程支出</w:t>
      </w:r>
      <w:r>
        <w:rPr>
          <w:rFonts w:hint="eastAsia"/>
        </w:rPr>
        <w:t>（项）</w:t>
      </w:r>
      <w:r>
        <w:rPr>
          <w:rFonts w:hint="default"/>
          <w:lang w:val="en-US" w:eastAsia="zh-CN"/>
        </w:rPr>
        <w:t>：</w:t>
      </w:r>
      <w:r>
        <w:rPr>
          <w:rFonts w:hint="eastAsia"/>
        </w:rPr>
        <w:t>指对</w:t>
      </w:r>
      <w:r>
        <w:rPr>
          <w:rFonts w:hint="default"/>
          <w:lang w:val="en-US" w:eastAsia="zh-CN"/>
        </w:rPr>
        <w:t>保障性安居工程</w:t>
      </w:r>
      <w:r>
        <w:rPr>
          <w:rFonts w:hint="eastAsia"/>
          <w:lang w:val="en-US" w:eastAsia="zh-CN"/>
        </w:rPr>
        <w:t>的其他支出。</w:t>
      </w:r>
    </w:p>
    <w:p>
      <w:pPr>
        <w:pStyle w:val="45"/>
        <w:rPr>
          <w:rFonts w:hint="eastAsia"/>
          <w:lang w:val="en-US" w:eastAsia="zh-CN"/>
        </w:rPr>
      </w:pPr>
      <w:r>
        <w:rPr>
          <w:rFonts w:hint="eastAsia"/>
          <w:lang w:val="en-US" w:eastAsia="zh-CN"/>
        </w:rPr>
        <w:t>49.住房保障支出（类）住房改革支出（款）住房公积金（项）:指由单位及其在职职工按规定缴存的住房公积金支出。</w:t>
      </w:r>
    </w:p>
    <w:p>
      <w:pPr>
        <w:pStyle w:val="45"/>
        <w:rPr>
          <w:rFonts w:hint="eastAsia"/>
          <w:lang w:val="en-US" w:eastAsia="zh-CN"/>
        </w:rPr>
      </w:pPr>
      <w:r>
        <w:rPr>
          <w:rFonts w:hint="eastAsia"/>
          <w:lang w:val="en-US" w:eastAsia="zh-CN"/>
        </w:rPr>
        <w:t>50.国防支出（类）国防动员（款）民兵（项）：指对国防动员的民兵相关支出</w:t>
      </w:r>
    </w:p>
    <w:p>
      <w:pPr>
        <w:pStyle w:val="45"/>
        <w:rPr>
          <w:rFonts w:hint="default"/>
          <w:lang w:val="en-US" w:eastAsia="zh-CN"/>
        </w:rPr>
      </w:pPr>
      <w:r>
        <w:rPr>
          <w:rFonts w:hint="eastAsia"/>
          <w:lang w:val="en-US" w:eastAsia="zh-CN"/>
        </w:rPr>
        <w:t>51</w:t>
      </w:r>
      <w:r>
        <w:rPr>
          <w:rFonts w:hint="default"/>
          <w:lang w:val="en-US" w:eastAsia="zh-CN"/>
        </w:rPr>
        <w:t>.灾害防治及应急管理支出</w:t>
      </w:r>
      <w:r>
        <w:rPr>
          <w:rFonts w:hint="eastAsia"/>
          <w:lang w:val="en-US" w:eastAsia="zh-CN"/>
        </w:rPr>
        <w:t>（类）</w:t>
      </w:r>
      <w:r>
        <w:rPr>
          <w:rFonts w:hint="default"/>
          <w:lang w:val="en-US" w:eastAsia="zh-CN"/>
        </w:rPr>
        <w:t>自然灾害防治</w:t>
      </w:r>
      <w:r>
        <w:rPr>
          <w:rFonts w:hint="eastAsia"/>
          <w:lang w:val="en-US" w:eastAsia="zh-CN"/>
        </w:rPr>
        <w:t>（款）</w:t>
      </w:r>
      <w:r>
        <w:rPr>
          <w:rFonts w:hint="default"/>
          <w:lang w:val="en-US" w:eastAsia="zh-CN"/>
        </w:rPr>
        <w:t>地质灾害防治</w:t>
      </w:r>
      <w:r>
        <w:rPr>
          <w:rFonts w:hint="eastAsia"/>
          <w:lang w:val="en-US" w:eastAsia="zh-CN"/>
        </w:rPr>
        <w:t>（项）</w:t>
      </w:r>
      <w:r>
        <w:rPr>
          <w:rFonts w:hint="default"/>
          <w:lang w:val="en-US" w:eastAsia="zh-CN"/>
        </w:rPr>
        <w:t>：</w:t>
      </w:r>
      <w:r>
        <w:rPr>
          <w:rFonts w:hint="eastAsia"/>
          <w:lang w:val="en-US" w:eastAsia="zh-CN"/>
        </w:rPr>
        <w:t>指对</w:t>
      </w:r>
      <w:r>
        <w:rPr>
          <w:rFonts w:hint="default"/>
          <w:lang w:val="en-US" w:eastAsia="zh-CN"/>
        </w:rPr>
        <w:t>地质灾害防治</w:t>
      </w:r>
      <w:r>
        <w:rPr>
          <w:rFonts w:hint="eastAsia"/>
          <w:lang w:val="en-US" w:eastAsia="zh-CN"/>
        </w:rPr>
        <w:t>的支出</w:t>
      </w:r>
      <w:r>
        <w:rPr>
          <w:rFonts w:hint="default"/>
          <w:lang w:val="en-US" w:eastAsia="zh-CN"/>
        </w:rPr>
        <w:t>。</w:t>
      </w:r>
    </w:p>
    <w:p>
      <w:pPr>
        <w:pStyle w:val="45"/>
        <w:rPr>
          <w:rFonts w:hint="eastAsia"/>
          <w:lang w:val="en-US" w:eastAsia="zh-CN"/>
        </w:rPr>
      </w:pPr>
      <w:r>
        <w:rPr>
          <w:rFonts w:hint="eastAsia"/>
          <w:lang w:val="en-US" w:eastAsia="zh-CN"/>
        </w:rPr>
        <w:t>52.</w:t>
      </w:r>
      <w:r>
        <w:rPr>
          <w:rFonts w:hint="default"/>
          <w:lang w:val="en-US" w:eastAsia="zh-CN"/>
        </w:rPr>
        <w:t>灾害防治及应急管理支出</w:t>
      </w:r>
      <w:r>
        <w:rPr>
          <w:rFonts w:hint="eastAsia"/>
          <w:lang w:val="en-US" w:eastAsia="zh-CN"/>
        </w:rPr>
        <w:t>（类）</w:t>
      </w:r>
      <w:r>
        <w:rPr>
          <w:rFonts w:hint="default"/>
          <w:lang w:val="en-US" w:eastAsia="zh-CN"/>
        </w:rPr>
        <w:t>自然灾害救灾及恢复重建支出</w:t>
      </w:r>
      <w:r>
        <w:rPr>
          <w:rFonts w:hint="eastAsia"/>
          <w:lang w:val="en-US" w:eastAsia="zh-CN"/>
        </w:rPr>
        <w:t>（款）</w:t>
      </w:r>
      <w:r>
        <w:rPr>
          <w:rFonts w:hint="default"/>
          <w:lang w:val="en-US" w:eastAsia="zh-CN"/>
        </w:rPr>
        <w:t>自然灾害救灾补助</w:t>
      </w:r>
      <w:r>
        <w:rPr>
          <w:rFonts w:hint="eastAsia"/>
          <w:lang w:val="en-US" w:eastAsia="zh-CN"/>
        </w:rPr>
        <w:t>（项）：指对</w:t>
      </w:r>
      <w:r>
        <w:rPr>
          <w:rFonts w:hint="default"/>
          <w:lang w:val="en-US" w:eastAsia="zh-CN"/>
        </w:rPr>
        <w:t>自然灾害救灾及恢复重建</w:t>
      </w:r>
      <w:r>
        <w:rPr>
          <w:rFonts w:hint="eastAsia"/>
          <w:lang w:val="en-US" w:eastAsia="zh-CN"/>
        </w:rPr>
        <w:t>中</w:t>
      </w:r>
      <w:r>
        <w:rPr>
          <w:rFonts w:hint="default"/>
          <w:lang w:val="en-US" w:eastAsia="zh-CN"/>
        </w:rPr>
        <w:t>自然灾害救灾补助</w:t>
      </w:r>
      <w:r>
        <w:rPr>
          <w:rFonts w:hint="eastAsia"/>
          <w:lang w:val="en-US" w:eastAsia="zh-CN"/>
        </w:rPr>
        <w:t>支出。</w:t>
      </w:r>
    </w:p>
    <w:p>
      <w:pPr>
        <w:pStyle w:val="45"/>
        <w:rPr>
          <w:rFonts w:hint="eastAsia"/>
          <w:lang w:val="en-US" w:eastAsia="zh-CN"/>
        </w:rPr>
      </w:pPr>
      <w:r>
        <w:rPr>
          <w:rFonts w:hint="eastAsia"/>
          <w:lang w:val="en-US" w:eastAsia="zh-CN"/>
        </w:rPr>
        <w:t>53.</w:t>
      </w:r>
      <w:r>
        <w:rPr>
          <w:rFonts w:hint="eastAsia" w:cs="Times New Roman"/>
          <w:lang w:val="en-US" w:eastAsia="zh-CN"/>
        </w:rPr>
        <w:t>灾害防治及应急管理支出</w:t>
      </w:r>
      <w:r>
        <w:rPr>
          <w:rFonts w:hint="eastAsia"/>
          <w:lang w:val="en-US" w:eastAsia="zh-CN"/>
        </w:rPr>
        <w:t>（类）</w:t>
      </w:r>
      <w:r>
        <w:rPr>
          <w:rFonts w:hint="eastAsia" w:cs="Times New Roman"/>
          <w:lang w:val="en-US" w:eastAsia="zh-CN"/>
        </w:rPr>
        <w:t>地震事务</w:t>
      </w:r>
      <w:r>
        <w:rPr>
          <w:rFonts w:hint="eastAsia"/>
          <w:lang w:val="en-US" w:eastAsia="zh-CN"/>
        </w:rPr>
        <w:t>（款）</w:t>
      </w:r>
      <w:r>
        <w:rPr>
          <w:rFonts w:hint="eastAsia" w:cs="Times New Roman"/>
          <w:lang w:val="en-US" w:eastAsia="zh-CN"/>
        </w:rPr>
        <w:t>地震预测预报</w:t>
      </w:r>
      <w:r>
        <w:rPr>
          <w:rFonts w:hint="eastAsia"/>
          <w:lang w:val="en-US" w:eastAsia="zh-CN"/>
        </w:rPr>
        <w:t>（项）：指对</w:t>
      </w:r>
      <w:r>
        <w:rPr>
          <w:rFonts w:hint="eastAsia" w:cs="Times New Roman"/>
          <w:lang w:val="en-US" w:eastAsia="zh-CN"/>
        </w:rPr>
        <w:t>地震事务</w:t>
      </w:r>
      <w:r>
        <w:rPr>
          <w:rFonts w:hint="eastAsia"/>
          <w:lang w:val="en-US" w:eastAsia="zh-CN"/>
        </w:rPr>
        <w:t>中</w:t>
      </w:r>
      <w:r>
        <w:rPr>
          <w:rFonts w:hint="eastAsia" w:cs="Times New Roman"/>
          <w:lang w:val="en-US" w:eastAsia="zh-CN"/>
        </w:rPr>
        <w:t>地震预测预报</w:t>
      </w:r>
      <w:r>
        <w:rPr>
          <w:rFonts w:hint="eastAsia"/>
          <w:lang w:val="en-US" w:eastAsia="zh-CN"/>
        </w:rPr>
        <w:t>相关支出。</w:t>
      </w:r>
    </w:p>
    <w:p>
      <w:pPr>
        <w:pStyle w:val="45"/>
        <w:rPr>
          <w:rFonts w:hint="default"/>
          <w:lang w:val="en-US" w:eastAsia="zh-CN"/>
        </w:rPr>
      </w:pPr>
      <w:r>
        <w:rPr>
          <w:rFonts w:hint="eastAsia"/>
          <w:lang w:val="en-US" w:eastAsia="zh-CN"/>
        </w:rPr>
        <w:t>54.节能环保支出（类）自然生态保护（款）生态保护（项）：指对自然生态保护中生态保护相关支出。</w:t>
      </w:r>
    </w:p>
    <w:p>
      <w:pPr>
        <w:pStyle w:val="35"/>
        <w:spacing w:line="560" w:lineRule="exact"/>
        <w:ind w:firstLine="640" w:firstLineChars="200"/>
        <w:rPr>
          <w:rFonts w:ascii="仿宋_GB2312" w:eastAsia="仿宋_GB2312" w:cs="黑体"/>
          <w:color w:val="auto"/>
          <w:sz w:val="32"/>
          <w:szCs w:val="32"/>
          <w:highlight w:val="none"/>
        </w:rPr>
      </w:pPr>
    </w:p>
    <w:p>
      <w:pPr>
        <w:spacing w:line="600" w:lineRule="exact"/>
        <w:jc w:val="center"/>
        <w:outlineLvl w:val="0"/>
        <w:rPr>
          <w:rStyle w:val="37"/>
          <w:rFonts w:ascii="黑体" w:hAnsi="黑体" w:eastAsia="黑体"/>
          <w:b w:val="0"/>
          <w:color w:val="auto"/>
          <w:highlight w:val="none"/>
        </w:rPr>
      </w:pPr>
      <w:r>
        <w:rPr>
          <w:rFonts w:ascii="宋体"/>
          <w:b/>
          <w:color w:val="auto"/>
          <w:sz w:val="44"/>
          <w:szCs w:val="44"/>
          <w:highlight w:val="none"/>
        </w:rPr>
        <w:br w:type="page"/>
      </w:r>
      <w:bookmarkStart w:id="133" w:name="_Toc9621"/>
      <w:bookmarkStart w:id="134" w:name="_Toc15396614"/>
      <w:r>
        <w:rPr>
          <w:rFonts w:hint="eastAsia" w:ascii="黑体" w:hAnsi="黑体" w:eastAsia="黑体"/>
          <w:color w:val="auto"/>
          <w:sz w:val="44"/>
          <w:szCs w:val="44"/>
          <w:highlight w:val="none"/>
        </w:rPr>
        <w:t>第</w:t>
      </w:r>
      <w:r>
        <w:rPr>
          <w:rStyle w:val="37"/>
          <w:rFonts w:hint="eastAsia" w:ascii="黑体" w:hAnsi="黑体" w:eastAsia="黑体"/>
          <w:b w:val="0"/>
          <w:color w:val="auto"/>
          <w:highlight w:val="none"/>
        </w:rPr>
        <w:t>四部分 附件</w:t>
      </w:r>
      <w:bookmarkEnd w:id="133"/>
      <w:bookmarkEnd w:id="134"/>
    </w:p>
    <w:p>
      <w:pPr>
        <w:keepNext w:val="0"/>
        <w:keepLines w:val="0"/>
        <w:pageBreakBefore w:val="0"/>
        <w:kinsoku/>
        <w:wordWrap/>
        <w:overflowPunct/>
        <w:topLinePunct w:val="0"/>
        <w:autoSpaceDE/>
        <w:autoSpaceDN/>
        <w:bidi w:val="0"/>
        <w:spacing w:line="572" w:lineRule="exact"/>
        <w:jc w:val="left"/>
        <w:textAlignment w:val="auto"/>
        <w:outlineLvl w:val="1"/>
        <w:rPr>
          <w:rFonts w:ascii="方正小标宋简体" w:hAnsi="方正小标宋简体" w:eastAsia="方正小标宋简体" w:cs="方正小标宋简体"/>
          <w:color w:val="auto"/>
          <w:sz w:val="44"/>
          <w:szCs w:val="44"/>
          <w:highlight w:val="none"/>
        </w:rPr>
      </w:pPr>
      <w:bookmarkStart w:id="135" w:name="_Toc18625"/>
      <w:bookmarkStart w:id="136" w:name="_Toc19051"/>
      <w:bookmarkStart w:id="137" w:name="_Toc22822"/>
      <w:r>
        <w:rPr>
          <w:rFonts w:hint="eastAsia" w:ascii="黑体" w:hAnsi="黑体" w:eastAsia="黑体" w:cs="黑体"/>
          <w:color w:val="auto"/>
          <w:sz w:val="32"/>
          <w:szCs w:val="32"/>
          <w:highlight w:val="none"/>
        </w:rPr>
        <w:t>附件</w:t>
      </w:r>
      <w:bookmarkEnd w:id="135"/>
      <w:bookmarkEnd w:id="136"/>
      <w:bookmarkEnd w:id="137"/>
    </w:p>
    <w:p>
      <w:pPr>
        <w:keepNext w:val="0"/>
        <w:keepLines w:val="0"/>
        <w:pageBreakBefore w:val="0"/>
        <w:kinsoku/>
        <w:wordWrap/>
        <w:overflowPunct/>
        <w:topLinePunct w:val="0"/>
        <w:autoSpaceDE/>
        <w:autoSpaceDN/>
        <w:bidi w:val="0"/>
        <w:spacing w:line="572" w:lineRule="exact"/>
        <w:jc w:val="center"/>
        <w:textAlignment w:val="auto"/>
        <w:rPr>
          <w:rFonts w:ascii="方正小标宋简体" w:hAnsi="宋体" w:eastAsia="方正小标宋简体"/>
          <w:color w:val="auto"/>
          <w:kern w:val="0"/>
          <w:sz w:val="40"/>
          <w:szCs w:val="44"/>
          <w:highlight w:val="none"/>
          <w:lang w:val="zh-CN"/>
        </w:rPr>
      </w:pPr>
      <w:r>
        <w:rPr>
          <w:rFonts w:hint="eastAsia" w:ascii="方正小标宋简体" w:hAnsi="宋体" w:eastAsia="方正小标宋简体"/>
          <w:color w:val="auto"/>
          <w:kern w:val="0"/>
          <w:sz w:val="40"/>
          <w:szCs w:val="44"/>
          <w:highlight w:val="none"/>
        </w:rPr>
        <w:t>202</w:t>
      </w:r>
      <w:r>
        <w:rPr>
          <w:rFonts w:hint="eastAsia" w:ascii="方正小标宋简体" w:hAnsi="宋体" w:eastAsia="方正小标宋简体"/>
          <w:color w:val="auto"/>
          <w:kern w:val="0"/>
          <w:sz w:val="40"/>
          <w:szCs w:val="44"/>
          <w:highlight w:val="none"/>
          <w:lang w:val="en-US" w:eastAsia="zh-CN"/>
        </w:rPr>
        <w:t>1</w:t>
      </w:r>
      <w:r>
        <w:rPr>
          <w:rFonts w:hint="eastAsia" w:ascii="方正小标宋简体" w:hAnsi="宋体" w:eastAsia="方正小标宋简体"/>
          <w:color w:val="auto"/>
          <w:kern w:val="0"/>
          <w:sz w:val="40"/>
          <w:szCs w:val="44"/>
          <w:highlight w:val="none"/>
        </w:rPr>
        <w:t>年</w:t>
      </w:r>
      <w:r>
        <w:rPr>
          <w:rFonts w:hint="eastAsia" w:ascii="方正小标宋简体" w:hAnsi="宋体" w:eastAsia="方正小标宋简体"/>
          <w:color w:val="auto"/>
          <w:kern w:val="0"/>
          <w:sz w:val="40"/>
          <w:szCs w:val="44"/>
          <w:highlight w:val="none"/>
          <w:lang w:eastAsia="zh-CN"/>
        </w:rPr>
        <w:t>中共青年团乐山市沙湾区委员会</w:t>
      </w:r>
      <w:r>
        <w:rPr>
          <w:rFonts w:hint="eastAsia" w:ascii="方正小标宋简体" w:hAnsi="宋体" w:eastAsia="方正小标宋简体"/>
          <w:color w:val="auto"/>
          <w:kern w:val="0"/>
          <w:sz w:val="40"/>
          <w:szCs w:val="44"/>
          <w:highlight w:val="none"/>
        </w:rPr>
        <w:t>部门整体绩效评价报告</w:t>
      </w:r>
    </w:p>
    <w:p>
      <w:pPr>
        <w:keepNext w:val="0"/>
        <w:keepLines w:val="0"/>
        <w:pageBreakBefore w:val="0"/>
        <w:widowControl/>
        <w:kinsoku/>
        <w:wordWrap/>
        <w:overflowPunct/>
        <w:topLinePunct w:val="0"/>
        <w:autoSpaceDE/>
        <w:autoSpaceDN/>
        <w:bidi w:val="0"/>
        <w:spacing w:line="572" w:lineRule="exact"/>
        <w:ind w:firstLine="640" w:firstLineChars="200"/>
        <w:contextualSpacing/>
        <w:jc w:val="center"/>
        <w:textAlignment w:val="auto"/>
        <w:rPr>
          <w:rFonts w:ascii="仿宋_GB2312" w:hAnsi="宋体" w:eastAsia="仿宋_GB2312"/>
          <w:color w:val="auto"/>
          <w:sz w:val="32"/>
          <w:szCs w:val="32"/>
          <w:highlight w:val="none"/>
          <w:shd w:val="clear" w:color="auto" w:fill="FFFFFF"/>
        </w:rPr>
      </w:pPr>
      <w:r>
        <w:rPr>
          <w:rFonts w:hint="eastAsia" w:ascii="仿宋_GB2312" w:hAnsi="宋体" w:eastAsia="仿宋_GB2312"/>
          <w:color w:val="auto"/>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outlineLvl w:val="1"/>
        <w:rPr>
          <w:rFonts w:ascii="黑体" w:hAnsi="宋体" w:eastAsia="黑体" w:cs="宋体"/>
          <w:color w:val="auto"/>
          <w:kern w:val="0"/>
          <w:sz w:val="32"/>
          <w:szCs w:val="32"/>
          <w:highlight w:val="none"/>
          <w:shd w:val="clear" w:color="auto" w:fill="FFFFFF"/>
          <w:lang w:val="zh-CN"/>
        </w:rPr>
      </w:pPr>
      <w:bookmarkStart w:id="138" w:name="_Toc576"/>
      <w:bookmarkStart w:id="139" w:name="_Toc26504"/>
      <w:r>
        <w:rPr>
          <w:rFonts w:hint="eastAsia" w:ascii="黑体" w:hAnsi="宋体" w:eastAsia="黑体" w:cs="宋体"/>
          <w:color w:val="auto"/>
          <w:kern w:val="0"/>
          <w:sz w:val="32"/>
          <w:szCs w:val="32"/>
          <w:highlight w:val="none"/>
          <w:shd w:val="clear" w:color="auto" w:fill="FFFFFF"/>
        </w:rPr>
        <w:t>一、</w:t>
      </w:r>
      <w:r>
        <w:rPr>
          <w:rFonts w:hint="eastAsia" w:ascii="黑体" w:hAnsi="宋体" w:eastAsia="黑体" w:cs="宋体"/>
          <w:color w:val="auto"/>
          <w:kern w:val="0"/>
          <w:sz w:val="32"/>
          <w:szCs w:val="32"/>
          <w:highlight w:val="none"/>
          <w:shd w:val="clear" w:color="auto" w:fill="FFFFFF"/>
          <w:lang w:val="zh-CN"/>
        </w:rPr>
        <w:t>部门（单位）概况</w:t>
      </w:r>
      <w:bookmarkEnd w:id="138"/>
      <w:bookmarkEnd w:id="139"/>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outlineLvl w:val="2"/>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zh-CN"/>
        </w:rPr>
        <w:t>中共青年团乐山市沙湾区委员会</w:t>
      </w:r>
      <w:r>
        <w:rPr>
          <w:rFonts w:hint="eastAsia" w:ascii="仿宋_GB2312" w:hAnsi="宋体" w:eastAsia="仿宋_GB2312" w:cs="宋体"/>
          <w:color w:val="000000"/>
          <w:kern w:val="0"/>
          <w:sz w:val="32"/>
          <w:szCs w:val="32"/>
          <w:shd w:val="clear" w:color="auto" w:fill="FFFFFF"/>
          <w:lang w:val="en-US" w:eastAsia="zh-CN"/>
        </w:rPr>
        <w:t>(主管)</w:t>
      </w:r>
      <w:r>
        <w:rPr>
          <w:rFonts w:hint="eastAsia" w:ascii="仿宋_GB2312" w:hAnsi="宋体" w:eastAsia="仿宋_GB2312" w:cs="宋体"/>
          <w:color w:val="000000"/>
          <w:kern w:val="0"/>
          <w:sz w:val="32"/>
          <w:szCs w:val="32"/>
          <w:shd w:val="clear" w:color="auto" w:fill="FFFFFF"/>
          <w:lang w:val="zh-CN"/>
        </w:rPr>
        <w:t>下属二级决算单位</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个，其中行政单位</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个中共青年团乐山市沙湾区委员会，参照公务员法管理的事业单位0个，</w:t>
      </w:r>
      <w:r>
        <w:rPr>
          <w:rFonts w:hint="eastAsia" w:ascii="仿宋_GB2312" w:hAnsi="宋体" w:eastAsia="仿宋_GB2312" w:cs="宋体"/>
          <w:color w:val="000000"/>
          <w:kern w:val="0"/>
          <w:sz w:val="32"/>
          <w:szCs w:val="32"/>
          <w:shd w:val="clear" w:color="auto" w:fill="FFFFFF"/>
          <w:lang w:val="en-US" w:eastAsia="zh-CN"/>
        </w:rPr>
        <w:t>财政补助</w:t>
      </w:r>
      <w:r>
        <w:rPr>
          <w:rFonts w:hint="eastAsia" w:ascii="仿宋_GB2312" w:hAnsi="宋体" w:eastAsia="仿宋_GB2312" w:cs="宋体"/>
          <w:color w:val="000000"/>
          <w:kern w:val="0"/>
          <w:sz w:val="32"/>
          <w:szCs w:val="32"/>
          <w:shd w:val="clear" w:color="auto" w:fill="FFFFFF"/>
          <w:lang w:val="zh-CN"/>
        </w:rPr>
        <w:t>事业单位</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个乐山市沙湾区青少年宫</w:t>
      </w:r>
      <w:r>
        <w:rPr>
          <w:rFonts w:hint="eastAsia" w:ascii="仿宋_GB2312" w:hAnsi="宋体" w:eastAsia="仿宋_GB2312" w:cs="宋体"/>
          <w:color w:val="auto"/>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outlineLvl w:val="2"/>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（二）机构职能。</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zh-CN"/>
        </w:rPr>
        <w:t>指导全区共青团、青联和少先队工作；对全区性青年社团组织进行指导和管理；参与制定全区青少年事业发展规划和青少年工作方针、政策；调查青年思想动态和青年工作状态，提出相应对策；协助做好大、中、小学生教育管理；组织和带领青年在经济建设中发挥生力军和突击队作用；参与制定我区有关青年统战工作的政策，维护和促进祖国统一和民族团结；承担区委、区政府交办的有关事项等。</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outlineLvl w:val="2"/>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（三）人员概况。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zh-CN"/>
        </w:rPr>
        <w:t>2021年末实有人数</w:t>
      </w:r>
      <w:r>
        <w:rPr>
          <w:rFonts w:hint="eastAsia" w:ascii="仿宋_GB2312" w:hAnsi="宋体" w:eastAsia="仿宋_GB2312" w:cs="宋体"/>
          <w:color w:val="000000"/>
          <w:kern w:val="0"/>
          <w:sz w:val="32"/>
          <w:szCs w:val="32"/>
          <w:shd w:val="clear" w:color="auto" w:fill="FFFFFF"/>
          <w:lang w:val="en-US" w:eastAsia="zh-CN"/>
        </w:rPr>
        <w:t>6</w:t>
      </w:r>
      <w:r>
        <w:rPr>
          <w:rFonts w:hint="eastAsia" w:ascii="仿宋_GB2312" w:hAnsi="宋体" w:eastAsia="仿宋_GB2312" w:cs="宋体"/>
          <w:color w:val="000000"/>
          <w:kern w:val="0"/>
          <w:sz w:val="32"/>
          <w:szCs w:val="32"/>
          <w:shd w:val="clear" w:color="auto" w:fill="FFFFFF"/>
          <w:lang w:val="zh-CN"/>
        </w:rPr>
        <w:t>人，其中行政人员</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人，非参公事业人员</w:t>
      </w:r>
      <w:r>
        <w:rPr>
          <w:rFonts w:hint="eastAsia" w:ascii="仿宋_GB2312" w:hAnsi="宋体" w:eastAsia="仿宋_GB2312" w:cs="宋体"/>
          <w:color w:val="000000"/>
          <w:kern w:val="0"/>
          <w:sz w:val="32"/>
          <w:szCs w:val="32"/>
          <w:shd w:val="clear" w:color="auto" w:fill="FFFFFF"/>
          <w:lang w:val="en-US" w:eastAsia="zh-CN"/>
        </w:rPr>
        <w:t>4人</w:t>
      </w:r>
      <w:r>
        <w:rPr>
          <w:rFonts w:hint="eastAsia" w:ascii="仿宋_GB2312" w:hAnsi="宋体" w:eastAsia="仿宋_GB2312" w:cs="宋体"/>
          <w:color w:val="auto"/>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outlineLvl w:val="1"/>
        <w:rPr>
          <w:rFonts w:ascii="黑体" w:hAnsi="宋体" w:eastAsia="黑体" w:cs="宋体"/>
          <w:color w:val="auto"/>
          <w:kern w:val="0"/>
          <w:sz w:val="32"/>
          <w:szCs w:val="32"/>
          <w:highlight w:val="none"/>
          <w:shd w:val="clear" w:color="auto" w:fill="FFFFFF"/>
        </w:rPr>
      </w:pPr>
      <w:bookmarkStart w:id="140" w:name="_Toc4805"/>
      <w:bookmarkStart w:id="141" w:name="_Toc25810"/>
      <w:r>
        <w:rPr>
          <w:rFonts w:hint="eastAsia" w:ascii="黑体" w:hAnsi="宋体" w:eastAsia="黑体" w:cs="宋体"/>
          <w:color w:val="auto"/>
          <w:kern w:val="0"/>
          <w:sz w:val="32"/>
          <w:szCs w:val="32"/>
          <w:highlight w:val="none"/>
          <w:shd w:val="clear" w:color="auto" w:fill="FFFFFF"/>
        </w:rPr>
        <w:t>二、部门财政资金收支情况</w:t>
      </w:r>
      <w:bookmarkEnd w:id="140"/>
      <w:bookmarkEnd w:id="141"/>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outlineLvl w:val="2"/>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zh-CN"/>
        </w:rPr>
        <w:t>2021年度我单位财政收入总计</w:t>
      </w:r>
      <w:r>
        <w:rPr>
          <w:rFonts w:hint="eastAsia" w:ascii="仿宋_GB2312" w:hAnsi="宋体" w:eastAsia="仿宋_GB2312" w:cs="宋体"/>
          <w:color w:val="000000"/>
          <w:kern w:val="0"/>
          <w:sz w:val="32"/>
          <w:szCs w:val="32"/>
          <w:shd w:val="clear" w:color="auto" w:fill="FFFFFF"/>
          <w:lang w:val="en-US" w:eastAsia="zh-CN"/>
        </w:rPr>
        <w:t>246.23</w:t>
      </w:r>
      <w:r>
        <w:rPr>
          <w:rFonts w:hint="eastAsia" w:ascii="仿宋_GB2312" w:hAnsi="宋体" w:eastAsia="仿宋_GB2312" w:cs="宋体"/>
          <w:color w:val="000000"/>
          <w:kern w:val="0"/>
          <w:sz w:val="32"/>
          <w:szCs w:val="32"/>
          <w:shd w:val="clear" w:color="auto" w:fill="FFFFFF"/>
          <w:lang w:val="zh-CN"/>
        </w:rPr>
        <w:t>万元，其中：一般公共预算财政拨款收入</w:t>
      </w:r>
      <w:r>
        <w:rPr>
          <w:rFonts w:hint="eastAsia" w:ascii="仿宋_GB2312" w:hAnsi="宋体" w:eastAsia="仿宋_GB2312" w:cs="宋体"/>
          <w:color w:val="000000"/>
          <w:kern w:val="0"/>
          <w:sz w:val="32"/>
          <w:szCs w:val="32"/>
          <w:shd w:val="clear" w:color="auto" w:fill="FFFFFF"/>
          <w:lang w:val="en-US" w:eastAsia="zh-CN"/>
        </w:rPr>
        <w:t>242.68</w:t>
      </w:r>
      <w:r>
        <w:rPr>
          <w:rFonts w:hint="eastAsia" w:ascii="仿宋_GB2312" w:hAnsi="宋体" w:eastAsia="仿宋_GB2312" w:cs="宋体"/>
          <w:color w:val="000000"/>
          <w:kern w:val="0"/>
          <w:sz w:val="32"/>
          <w:szCs w:val="32"/>
          <w:shd w:val="clear" w:color="auto" w:fill="FFFFFF"/>
          <w:lang w:val="zh-CN"/>
        </w:rPr>
        <w:t>万元，占</w:t>
      </w:r>
      <w:r>
        <w:rPr>
          <w:rFonts w:hint="eastAsia" w:ascii="仿宋_GB2312" w:hAnsi="宋体" w:eastAsia="仿宋_GB2312" w:cs="宋体"/>
          <w:color w:val="000000"/>
          <w:kern w:val="0"/>
          <w:sz w:val="32"/>
          <w:szCs w:val="32"/>
          <w:shd w:val="clear" w:color="auto" w:fill="FFFFFF"/>
          <w:lang w:val="en-US" w:eastAsia="zh-CN"/>
        </w:rPr>
        <w:t>98.40</w:t>
      </w:r>
      <w:r>
        <w:rPr>
          <w:rFonts w:hint="eastAsia" w:ascii="仿宋_GB2312" w:hAnsi="宋体" w:eastAsia="仿宋_GB2312" w:cs="宋体"/>
          <w:color w:val="000000"/>
          <w:kern w:val="0"/>
          <w:sz w:val="32"/>
          <w:szCs w:val="32"/>
          <w:shd w:val="clear" w:color="auto" w:fill="FFFFFF"/>
          <w:lang w:val="zh-CN"/>
        </w:rPr>
        <w:t>%；年初结转和结余</w:t>
      </w:r>
      <w:r>
        <w:rPr>
          <w:rFonts w:hint="eastAsia" w:ascii="仿宋_GB2312" w:hAnsi="宋体" w:eastAsia="仿宋_GB2312" w:cs="宋体"/>
          <w:color w:val="000000"/>
          <w:kern w:val="0"/>
          <w:sz w:val="32"/>
          <w:szCs w:val="32"/>
          <w:shd w:val="clear" w:color="auto" w:fill="FFFFFF"/>
          <w:lang w:val="en-US" w:eastAsia="zh-CN"/>
        </w:rPr>
        <w:t>3.55万元，占1.44%</w:t>
      </w:r>
      <w:r>
        <w:rPr>
          <w:rFonts w:hint="eastAsia" w:ascii="仿宋" w:hAnsi="仿宋" w:eastAsia="仿宋" w:cs="仿宋"/>
          <w:color w:val="00000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outlineLvl w:val="2"/>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w:t>
      </w:r>
      <w:r>
        <w:rPr>
          <w:rFonts w:hint="eastAsia" w:ascii="仿宋_GB2312" w:hAnsi="宋体" w:eastAsia="仿宋_GB2312" w:cs="宋体"/>
          <w:color w:val="000000"/>
          <w:kern w:val="0"/>
          <w:sz w:val="32"/>
          <w:szCs w:val="32"/>
          <w:shd w:val="clear" w:color="auto" w:fill="FFFFFF"/>
          <w:lang w:val="en-US" w:eastAsia="zh-CN"/>
        </w:rPr>
        <w:t>21</w:t>
      </w:r>
      <w:r>
        <w:rPr>
          <w:rFonts w:hint="eastAsia" w:ascii="仿宋_GB2312" w:hAnsi="宋体" w:eastAsia="仿宋_GB2312" w:cs="宋体"/>
          <w:color w:val="000000"/>
          <w:kern w:val="0"/>
          <w:sz w:val="32"/>
          <w:szCs w:val="32"/>
          <w:shd w:val="clear" w:color="auto" w:fill="FFFFFF"/>
          <w:lang w:val="zh-CN"/>
        </w:rPr>
        <w:t>年度我单位财政支出总计</w:t>
      </w:r>
      <w:r>
        <w:rPr>
          <w:rFonts w:hint="eastAsia" w:ascii="仿宋_GB2312" w:hAnsi="宋体" w:eastAsia="仿宋_GB2312" w:cs="宋体"/>
          <w:color w:val="000000"/>
          <w:kern w:val="0"/>
          <w:sz w:val="32"/>
          <w:szCs w:val="32"/>
          <w:shd w:val="clear" w:color="auto" w:fill="FFFFFF"/>
          <w:lang w:val="en-US" w:eastAsia="zh-CN"/>
        </w:rPr>
        <w:t>245.57</w:t>
      </w:r>
      <w:r>
        <w:rPr>
          <w:rFonts w:hint="eastAsia" w:ascii="仿宋_GB2312" w:hAnsi="宋体" w:eastAsia="仿宋_GB2312" w:cs="宋体"/>
          <w:color w:val="000000"/>
          <w:kern w:val="0"/>
          <w:sz w:val="32"/>
          <w:szCs w:val="32"/>
          <w:shd w:val="clear" w:color="auto" w:fill="FFFFFF"/>
          <w:lang w:val="zh-CN"/>
        </w:rPr>
        <w:t>万元。其中：</w:t>
      </w:r>
      <w:r>
        <w:rPr>
          <w:rFonts w:hint="eastAsia" w:ascii="仿宋_GB2312" w:hAnsi="宋体" w:eastAsia="仿宋_GB2312" w:cs="宋体"/>
          <w:color w:val="000000"/>
          <w:kern w:val="0"/>
          <w:sz w:val="32"/>
          <w:szCs w:val="32"/>
          <w:shd w:val="clear" w:color="auto" w:fill="FFFFFF"/>
          <w:lang w:val="en-US" w:eastAsia="zh-CN"/>
        </w:rPr>
        <w:t>一般公共服务支出157.78</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占64.25%；</w:t>
      </w:r>
      <w:r>
        <w:rPr>
          <w:rFonts w:hint="eastAsia" w:ascii="仿宋_GB2312" w:hAnsi="宋体" w:eastAsia="仿宋_GB2312" w:cs="宋体"/>
          <w:color w:val="000000"/>
          <w:kern w:val="0"/>
          <w:sz w:val="32"/>
          <w:szCs w:val="32"/>
          <w:shd w:val="clear" w:color="auto" w:fill="FFFFFF"/>
          <w:lang w:val="zh-CN"/>
        </w:rPr>
        <w:t>社会保障和就业支出</w:t>
      </w:r>
      <w:r>
        <w:rPr>
          <w:rFonts w:hint="eastAsia" w:ascii="仿宋_GB2312" w:hAnsi="宋体" w:eastAsia="仿宋_GB2312" w:cs="宋体"/>
          <w:color w:val="000000"/>
          <w:kern w:val="0"/>
          <w:sz w:val="32"/>
          <w:szCs w:val="32"/>
          <w:shd w:val="clear" w:color="auto" w:fill="FFFFFF"/>
          <w:lang w:val="en-US" w:eastAsia="zh-CN"/>
        </w:rPr>
        <w:t>42.33</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占17.24%；</w:t>
      </w:r>
      <w:r>
        <w:rPr>
          <w:rFonts w:hint="eastAsia" w:ascii="仿宋_GB2312" w:hAnsi="宋体" w:eastAsia="仿宋_GB2312" w:cs="宋体"/>
          <w:color w:val="000000"/>
          <w:kern w:val="0"/>
          <w:sz w:val="32"/>
          <w:szCs w:val="32"/>
          <w:shd w:val="clear" w:color="auto" w:fill="FFFFFF"/>
          <w:lang w:val="zh-CN"/>
        </w:rPr>
        <w:t>卫生健康支出</w:t>
      </w:r>
      <w:r>
        <w:rPr>
          <w:rFonts w:hint="eastAsia" w:ascii="仿宋_GB2312" w:hAnsi="宋体" w:eastAsia="仿宋_GB2312" w:cs="宋体"/>
          <w:color w:val="000000"/>
          <w:kern w:val="0"/>
          <w:sz w:val="32"/>
          <w:szCs w:val="32"/>
          <w:shd w:val="clear" w:color="auto" w:fill="FFFFFF"/>
          <w:lang w:val="en-US" w:eastAsia="zh-CN"/>
        </w:rPr>
        <w:t>4.30</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占1.75%；农林水支出28.92万元，占11.78%；</w:t>
      </w:r>
      <w:r>
        <w:rPr>
          <w:rFonts w:hint="eastAsia" w:ascii="仿宋_GB2312" w:hAnsi="宋体" w:eastAsia="仿宋_GB2312" w:cs="宋体"/>
          <w:color w:val="000000"/>
          <w:kern w:val="0"/>
          <w:sz w:val="32"/>
          <w:szCs w:val="32"/>
          <w:shd w:val="clear" w:color="auto" w:fill="FFFFFF"/>
          <w:lang w:val="zh-CN"/>
        </w:rPr>
        <w:t>住房保障支出</w:t>
      </w:r>
      <w:r>
        <w:rPr>
          <w:rFonts w:hint="eastAsia" w:ascii="仿宋_GB2312" w:hAnsi="宋体" w:eastAsia="仿宋_GB2312" w:cs="宋体"/>
          <w:color w:val="000000"/>
          <w:kern w:val="0"/>
          <w:sz w:val="32"/>
          <w:szCs w:val="32"/>
          <w:shd w:val="clear" w:color="auto" w:fill="FFFFFF"/>
          <w:lang w:val="en-US" w:eastAsia="zh-CN"/>
        </w:rPr>
        <w:t>12.23</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占4.98%</w:t>
      </w:r>
      <w:r>
        <w:rPr>
          <w:rFonts w:hint="eastAsia" w:ascii="仿宋_GB2312" w:hAnsi="宋体" w:eastAsia="仿宋_GB2312" w:cs="宋体"/>
          <w:color w:val="000000"/>
          <w:kern w:val="0"/>
          <w:sz w:val="32"/>
          <w:szCs w:val="32"/>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具体分为：基本支出</w:t>
      </w:r>
      <w:r>
        <w:rPr>
          <w:rFonts w:hint="eastAsia" w:ascii="仿宋_GB2312" w:hAnsi="宋体" w:eastAsia="仿宋_GB2312" w:cs="宋体"/>
          <w:color w:val="000000"/>
          <w:kern w:val="0"/>
          <w:sz w:val="32"/>
          <w:szCs w:val="32"/>
          <w:shd w:val="clear" w:color="auto" w:fill="FFFFFF"/>
          <w:lang w:val="en-US" w:eastAsia="zh-CN"/>
        </w:rPr>
        <w:t>187.95</w:t>
      </w:r>
      <w:r>
        <w:rPr>
          <w:rFonts w:hint="eastAsia" w:ascii="仿宋_GB2312" w:hAnsi="宋体" w:eastAsia="仿宋_GB2312" w:cs="宋体"/>
          <w:color w:val="000000"/>
          <w:kern w:val="0"/>
          <w:sz w:val="32"/>
          <w:szCs w:val="32"/>
          <w:shd w:val="clear" w:color="auto" w:fill="FFFFFF"/>
          <w:lang w:val="zh-CN"/>
        </w:rPr>
        <w:t>万元。主要包括工资福利性支出为</w:t>
      </w:r>
      <w:r>
        <w:rPr>
          <w:rFonts w:hint="eastAsia" w:ascii="仿宋_GB2312" w:hAnsi="宋体" w:eastAsia="仿宋_GB2312" w:cs="宋体"/>
          <w:color w:val="000000"/>
          <w:kern w:val="0"/>
          <w:sz w:val="32"/>
          <w:szCs w:val="32"/>
          <w:shd w:val="clear" w:color="auto" w:fill="FFFFFF"/>
          <w:lang w:val="en-US" w:eastAsia="zh-CN"/>
        </w:rPr>
        <w:t>146.22</w:t>
      </w:r>
      <w:r>
        <w:rPr>
          <w:rFonts w:hint="eastAsia" w:ascii="仿宋_GB2312" w:hAnsi="宋体" w:eastAsia="仿宋_GB2312" w:cs="宋体"/>
          <w:color w:val="000000"/>
          <w:kern w:val="0"/>
          <w:sz w:val="32"/>
          <w:szCs w:val="32"/>
          <w:shd w:val="clear" w:color="auto" w:fill="FFFFFF"/>
          <w:lang w:val="zh-CN"/>
        </w:rPr>
        <w:t>万元，商品和服务性支出为</w:t>
      </w:r>
      <w:r>
        <w:rPr>
          <w:rFonts w:hint="eastAsia" w:ascii="仿宋_GB2312" w:hAnsi="宋体" w:eastAsia="仿宋_GB2312" w:cs="宋体"/>
          <w:color w:val="000000"/>
          <w:kern w:val="0"/>
          <w:sz w:val="32"/>
          <w:szCs w:val="32"/>
          <w:shd w:val="clear" w:color="auto" w:fill="FFFFFF"/>
          <w:lang w:val="en-US" w:eastAsia="zh-CN"/>
        </w:rPr>
        <w:t>10.53</w:t>
      </w:r>
      <w:r>
        <w:rPr>
          <w:rFonts w:hint="eastAsia" w:ascii="仿宋_GB2312" w:hAnsi="宋体" w:eastAsia="仿宋_GB2312" w:cs="宋体"/>
          <w:color w:val="000000"/>
          <w:kern w:val="0"/>
          <w:sz w:val="32"/>
          <w:szCs w:val="32"/>
          <w:shd w:val="clear" w:color="auto" w:fill="FFFFFF"/>
          <w:lang w:val="zh-CN"/>
        </w:rPr>
        <w:t>万元，对个人和家庭的补助</w:t>
      </w:r>
      <w:r>
        <w:rPr>
          <w:rFonts w:hint="eastAsia" w:ascii="仿宋_GB2312" w:hAnsi="宋体" w:eastAsia="仿宋_GB2312" w:cs="宋体"/>
          <w:color w:val="000000"/>
          <w:kern w:val="0"/>
          <w:sz w:val="32"/>
          <w:szCs w:val="32"/>
          <w:shd w:val="clear" w:color="auto" w:fill="FFFFFF"/>
          <w:lang w:val="en-US" w:eastAsia="zh-CN"/>
        </w:rPr>
        <w:t>31.19万元</w:t>
      </w:r>
      <w:r>
        <w:rPr>
          <w:rFonts w:hint="eastAsia" w:ascii="仿宋_GB2312" w:hAnsi="宋体" w:eastAsia="仿宋_GB2312" w:cs="宋体"/>
          <w:color w:val="000000"/>
          <w:kern w:val="0"/>
          <w:sz w:val="32"/>
          <w:szCs w:val="32"/>
          <w:shd w:val="clear" w:color="auto" w:fill="FFFFFF"/>
          <w:lang w:val="zh-CN"/>
        </w:rPr>
        <w:t>。项目支出</w:t>
      </w:r>
      <w:r>
        <w:rPr>
          <w:rFonts w:hint="eastAsia" w:ascii="仿宋_GB2312" w:hAnsi="宋体" w:eastAsia="仿宋_GB2312" w:cs="宋体"/>
          <w:color w:val="000000"/>
          <w:kern w:val="0"/>
          <w:sz w:val="32"/>
          <w:szCs w:val="32"/>
          <w:shd w:val="clear" w:color="auto" w:fill="FFFFFF"/>
          <w:lang w:val="en-US" w:eastAsia="zh-CN"/>
        </w:rPr>
        <w:t>57.62</w:t>
      </w:r>
      <w:r>
        <w:rPr>
          <w:rFonts w:hint="eastAsia" w:ascii="仿宋_GB2312" w:hAnsi="宋体" w:eastAsia="仿宋_GB2312" w:cs="宋体"/>
          <w:color w:val="000000"/>
          <w:kern w:val="0"/>
          <w:sz w:val="32"/>
          <w:szCs w:val="32"/>
          <w:shd w:val="clear" w:color="auto" w:fill="FFFFFF"/>
          <w:lang w:val="zh-CN"/>
        </w:rPr>
        <w:t>万元。主要包括商品和服务性支出为</w:t>
      </w:r>
      <w:r>
        <w:rPr>
          <w:rFonts w:hint="eastAsia" w:ascii="仿宋_GB2312" w:hAnsi="宋体" w:eastAsia="仿宋_GB2312" w:cs="宋体"/>
          <w:color w:val="000000"/>
          <w:kern w:val="0"/>
          <w:sz w:val="32"/>
          <w:szCs w:val="32"/>
          <w:shd w:val="clear" w:color="auto" w:fill="FFFFFF"/>
          <w:lang w:val="en-US" w:eastAsia="zh-CN"/>
        </w:rPr>
        <w:t>52.50</w:t>
      </w:r>
      <w:r>
        <w:rPr>
          <w:rFonts w:hint="eastAsia" w:ascii="仿宋_GB2312" w:hAnsi="宋体" w:eastAsia="仿宋_GB2312" w:cs="宋体"/>
          <w:color w:val="000000"/>
          <w:kern w:val="0"/>
          <w:sz w:val="32"/>
          <w:szCs w:val="32"/>
          <w:shd w:val="clear" w:color="auto" w:fill="FFFFFF"/>
          <w:lang w:val="zh-CN"/>
        </w:rPr>
        <w:t>万元，对个人和家庭的补助</w:t>
      </w:r>
      <w:r>
        <w:rPr>
          <w:rFonts w:hint="eastAsia" w:ascii="仿宋_GB2312" w:hAnsi="宋体" w:eastAsia="仿宋_GB2312" w:cs="宋体"/>
          <w:color w:val="000000"/>
          <w:kern w:val="0"/>
          <w:sz w:val="32"/>
          <w:szCs w:val="32"/>
          <w:shd w:val="clear" w:color="auto" w:fill="FFFFFF"/>
          <w:lang w:val="en-US" w:eastAsia="zh-CN"/>
        </w:rPr>
        <w:t>5.12万元</w:t>
      </w:r>
      <w:r>
        <w:rPr>
          <w:rFonts w:hint="eastAsia" w:ascii="仿宋_GB2312" w:hAnsi="宋体" w:eastAsia="仿宋_GB2312" w:cs="宋体"/>
          <w:color w:val="000000"/>
          <w:kern w:val="0"/>
          <w:sz w:val="32"/>
          <w:szCs w:val="32"/>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zh-CN"/>
        </w:rPr>
        <w:t>以上支出主要用于人员支出、日常公用支出和项目支出，人员支出为工资、社会保障缴费、住户公积金等支出；日常公用支出为办公费、水电费、邮电费、公务接待费、公务用车运行维护费等；项目支出主要团委专项业务经费、区关工委日常工作经费、沙湾区“童伴计划”经费</w:t>
      </w:r>
      <w:r>
        <w:rPr>
          <w:rFonts w:hint="eastAsia" w:ascii="仿宋_GB2312" w:hAnsi="宋体" w:eastAsia="仿宋_GB2312" w:cs="宋体"/>
          <w:color w:val="000000"/>
          <w:kern w:val="0"/>
          <w:sz w:val="32"/>
          <w:szCs w:val="32"/>
          <w:shd w:val="clear" w:color="auto" w:fill="FFFFFF"/>
          <w:lang w:val="en-US" w:eastAsia="zh-CN"/>
        </w:rPr>
        <w:t>\非税收入—运转经费等</w:t>
      </w:r>
      <w:r>
        <w:rPr>
          <w:rFonts w:hint="eastAsia" w:ascii="仿宋" w:hAnsi="仿宋" w:eastAsia="仿宋" w:cs="仿宋"/>
          <w:color w:val="00000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w:t>
      </w:r>
      <w:r>
        <w:rPr>
          <w:rFonts w:hint="eastAsia" w:ascii="黑体" w:hAnsi="宋体" w:eastAsia="黑体" w:cs="宋体"/>
          <w:color w:val="auto"/>
          <w:kern w:val="0"/>
          <w:sz w:val="32"/>
          <w:szCs w:val="32"/>
          <w:highlight w:val="none"/>
          <w:u w:val="none"/>
          <w:shd w:val="clear" w:color="auto" w:fill="FFFFFF"/>
        </w:rPr>
        <w:t>部门整体预算绩效管理情况</w:t>
      </w:r>
      <w:r>
        <w:rPr>
          <w:rFonts w:hint="eastAsia" w:ascii="黑体" w:hAnsi="宋体" w:eastAsia="黑体" w:cs="宋体"/>
          <w:color w:val="auto"/>
          <w:kern w:val="0"/>
          <w:sz w:val="32"/>
          <w:szCs w:val="32"/>
          <w:highlight w:val="none"/>
          <w:shd w:val="clear" w:color="auto" w:fill="FFFFFF"/>
        </w:rPr>
        <w:t>（</w:t>
      </w:r>
      <w:r>
        <w:rPr>
          <w:rFonts w:hint="eastAsia" w:ascii="黑体" w:hAnsi="宋体" w:eastAsia="黑体" w:cs="宋体"/>
          <w:color w:val="auto"/>
          <w:kern w:val="0"/>
          <w:sz w:val="32"/>
          <w:szCs w:val="32"/>
          <w:highlight w:val="none"/>
          <w:shd w:val="clear" w:color="auto" w:fill="FFFFFF"/>
          <w:lang w:eastAsia="zh-CN"/>
        </w:rPr>
        <w:t>涉及到有专项预算的部门，专项预算项目自评报告作为附件报送；</w:t>
      </w:r>
      <w:r>
        <w:rPr>
          <w:rFonts w:hint="eastAsia" w:ascii="黑体" w:hAnsi="宋体" w:eastAsia="黑体" w:cs="宋体"/>
          <w:color w:val="auto"/>
          <w:kern w:val="0"/>
          <w:sz w:val="32"/>
          <w:szCs w:val="32"/>
          <w:highlight w:val="none"/>
          <w:shd w:val="clear" w:color="auto" w:fill="FFFFFF"/>
          <w:lang w:val="en-US" w:eastAsia="zh-CN"/>
        </w:rPr>
        <w:t>特定目标类部门预算项目绩效目标自评表作为附表报送</w:t>
      </w:r>
      <w:r>
        <w:rPr>
          <w:rFonts w:hint="eastAsia" w:ascii="黑体" w:hAnsi="宋体" w:eastAsia="黑体" w:cs="宋体"/>
          <w:color w:val="auto"/>
          <w:kern w:val="0"/>
          <w:sz w:val="32"/>
          <w:szCs w:val="32"/>
          <w:highlight w:val="none"/>
          <w:shd w:val="clear" w:color="auto" w:fill="FFFFFF"/>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outlineLvl w:val="2"/>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（一）部门预算项目绩效管理。</w:t>
      </w:r>
    </w:p>
    <w:p>
      <w:pPr>
        <w:keepNext w:val="0"/>
        <w:keepLines w:val="0"/>
        <w:pageBreakBefore w:val="0"/>
        <w:widowControl/>
        <w:kinsoku/>
        <w:wordWrap/>
        <w:overflowPunct/>
        <w:autoSpaceDE/>
        <w:autoSpaceDN/>
        <w:bidi w:val="0"/>
        <w:adjustRightInd w:val="0"/>
        <w:snapToGrid w:val="0"/>
        <w:spacing w:line="600" w:lineRule="exact"/>
        <w:ind w:firstLine="640" w:firstLineChars="200"/>
        <w:contextualSpacing/>
        <w:jc w:val="left"/>
        <w:outlineLvl w:val="9"/>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en-US" w:eastAsia="zh-CN"/>
        </w:rPr>
        <w:t>1.</w:t>
      </w:r>
      <w:r>
        <w:rPr>
          <w:rFonts w:hint="eastAsia" w:ascii="仿宋" w:hAnsi="仿宋" w:eastAsia="仿宋" w:cs="仿宋"/>
          <w:color w:val="000000"/>
          <w:kern w:val="0"/>
          <w:sz w:val="32"/>
          <w:szCs w:val="32"/>
          <w:shd w:val="clear" w:color="auto" w:fill="FFFFFF"/>
          <w:lang w:val="zh-CN"/>
        </w:rPr>
        <w:t>部门预算管理。</w:t>
      </w:r>
    </w:p>
    <w:p>
      <w:pPr>
        <w:pStyle w:val="45"/>
        <w:keepNext w:val="0"/>
        <w:keepLines w:val="0"/>
        <w:pageBreakBefore w:val="0"/>
        <w:kinsoku/>
        <w:wordWrap/>
        <w:overflowPunct/>
        <w:autoSpaceDE/>
        <w:autoSpaceDN/>
        <w:bidi w:val="0"/>
        <w:spacing w:line="600" w:lineRule="exact"/>
        <w:ind w:firstLine="640" w:firstLineChars="200"/>
        <w:rPr>
          <w:rFonts w:hint="eastAsia" w:ascii="仿宋" w:hAnsi="仿宋" w:eastAsia="仿宋" w:cs="仿宋"/>
          <w:sz w:val="32"/>
          <w:szCs w:val="32"/>
          <w:shd w:val="clear" w:color="auto" w:fill="FFFFFF"/>
          <w:lang w:val="zh-CN"/>
        </w:rPr>
      </w:pPr>
      <w:r>
        <w:rPr>
          <w:rFonts w:hint="eastAsia" w:ascii="仿宋" w:hAnsi="仿宋" w:eastAsia="仿宋" w:cs="仿宋"/>
          <w:sz w:val="32"/>
          <w:szCs w:val="32"/>
          <w:lang w:val="zh-CN"/>
        </w:rPr>
        <w:t>严格按照区部门预算编制通知和相关要求，按时完成预算编制工作，20</w:t>
      </w:r>
      <w:r>
        <w:rPr>
          <w:rFonts w:hint="eastAsia" w:ascii="仿宋" w:hAnsi="仿宋" w:eastAsia="仿宋" w:cs="仿宋"/>
          <w:sz w:val="32"/>
          <w:szCs w:val="32"/>
          <w:lang w:val="en-US" w:eastAsia="zh-CN"/>
        </w:rPr>
        <w:t>21</w:t>
      </w:r>
      <w:r>
        <w:rPr>
          <w:rFonts w:hint="eastAsia" w:ascii="仿宋" w:hAnsi="仿宋" w:eastAsia="仿宋" w:cs="仿宋"/>
          <w:sz w:val="32"/>
          <w:szCs w:val="32"/>
          <w:lang w:val="zh-CN"/>
        </w:rPr>
        <w:t>年部门决算填报、绩效目标严格按照区财政局的要求完成。</w:t>
      </w:r>
    </w:p>
    <w:p>
      <w:pPr>
        <w:pStyle w:val="50"/>
        <w:keepNext w:val="0"/>
        <w:keepLines w:val="0"/>
        <w:pageBreakBefore w:val="0"/>
        <w:numPr>
          <w:ilvl w:val="0"/>
          <w:numId w:val="0"/>
        </w:numPr>
        <w:kinsoku/>
        <w:wordWrap/>
        <w:overflowPunct/>
        <w:autoSpaceDE/>
        <w:autoSpaceDN/>
        <w:bidi w:val="0"/>
        <w:spacing w:line="600" w:lineRule="exact"/>
        <w:ind w:firstLine="640" w:firstLineChars="200"/>
        <w:outlineLvl w:val="9"/>
        <w:rPr>
          <w:rFonts w:hint="eastAsia" w:ascii="仿宋" w:hAnsi="仿宋" w:eastAsia="仿宋" w:cs="仿宋"/>
          <w:sz w:val="32"/>
          <w:szCs w:val="32"/>
          <w:shd w:val="clear" w:color="auto" w:fill="FFFFFF"/>
        </w:rPr>
      </w:pPr>
      <w:bookmarkStart w:id="142" w:name="_Toc12970"/>
      <w:bookmarkStart w:id="143" w:name="_Toc7675"/>
      <w:bookmarkStart w:id="144" w:name="_Toc10070"/>
      <w:bookmarkStart w:id="145" w:name="_Toc18578"/>
      <w:r>
        <w:rPr>
          <w:rFonts w:hint="eastAsia" w:ascii="仿宋" w:hAnsi="仿宋" w:eastAsia="仿宋" w:cs="仿宋"/>
          <w:sz w:val="32"/>
          <w:szCs w:val="32"/>
          <w:shd w:val="clear" w:color="auto" w:fill="FFFFFF"/>
          <w:lang w:val="en-US" w:eastAsia="zh-CN"/>
        </w:rPr>
        <w:t>2.</w:t>
      </w:r>
      <w:r>
        <w:rPr>
          <w:rFonts w:hint="eastAsia" w:ascii="仿宋" w:hAnsi="仿宋" w:eastAsia="仿宋" w:cs="仿宋"/>
          <w:sz w:val="32"/>
          <w:szCs w:val="32"/>
          <w:shd w:val="clear" w:color="auto" w:fill="FFFFFF"/>
        </w:rPr>
        <w:t>执行管理情况。</w:t>
      </w:r>
      <w:bookmarkEnd w:id="142"/>
      <w:bookmarkEnd w:id="143"/>
      <w:bookmarkEnd w:id="144"/>
      <w:bookmarkEnd w:id="14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财政拨款安排支出主要用于保障单位正常运转、完成日常工作任务及相关工作，人员经费和公用经费每月财政通过均衡预算安排支付；基本支出包括工资福利支出、商品和服务支出以及对个人和家庭的补助，项目支出用于保障单位为完成特定的行政工作任务或专项业务工作的经费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shd w:val="clear" w:color="auto" w:fill="FFFFFF"/>
          <w:lang w:val="zh-CN"/>
        </w:rPr>
      </w:pPr>
      <w:r>
        <w:rPr>
          <w:rFonts w:hint="eastAsia" w:ascii="仿宋" w:hAnsi="仿宋" w:eastAsia="仿宋" w:cs="仿宋"/>
          <w:sz w:val="32"/>
          <w:szCs w:val="32"/>
          <w:lang w:val="zh-CN"/>
        </w:rPr>
        <w:t>我单位认真贯彻落实区财政相关规定，厉行节约，严格控制因公出国（境）费用、会议费、车辆购置及运行费用和公务接待经费，因公出国（境）费用0万元，公务接待费</w:t>
      </w:r>
      <w:r>
        <w:rPr>
          <w:rFonts w:hint="eastAsia" w:ascii="仿宋" w:hAnsi="仿宋" w:eastAsia="仿宋" w:cs="仿宋"/>
          <w:sz w:val="32"/>
          <w:szCs w:val="32"/>
          <w:lang w:val="en-US" w:eastAsia="zh-CN"/>
        </w:rPr>
        <w:t>0.30</w:t>
      </w:r>
      <w:r>
        <w:rPr>
          <w:rFonts w:hint="eastAsia" w:ascii="仿宋" w:hAnsi="仿宋" w:eastAsia="仿宋" w:cs="仿宋"/>
          <w:sz w:val="32"/>
          <w:szCs w:val="32"/>
          <w:lang w:val="zh-CN"/>
        </w:rPr>
        <w:t>万元，公务用车运行维护费</w:t>
      </w:r>
      <w:r>
        <w:rPr>
          <w:rFonts w:hint="eastAsia" w:ascii="仿宋" w:hAnsi="仿宋" w:eastAsia="仿宋" w:cs="仿宋"/>
          <w:sz w:val="32"/>
          <w:szCs w:val="32"/>
          <w:lang w:val="en-US" w:eastAsia="zh-CN"/>
        </w:rPr>
        <w:t>1.00</w:t>
      </w:r>
      <w:r>
        <w:rPr>
          <w:rFonts w:hint="eastAsia" w:ascii="仿宋" w:hAnsi="仿宋" w:eastAsia="仿宋" w:cs="仿宋"/>
          <w:sz w:val="32"/>
          <w:szCs w:val="32"/>
          <w:lang w:val="zh-CN"/>
        </w:rPr>
        <w:t>万元。</w:t>
      </w:r>
    </w:p>
    <w:p>
      <w:pPr>
        <w:pStyle w:val="50"/>
        <w:keepNext w:val="0"/>
        <w:keepLines w:val="0"/>
        <w:pageBreakBefore w:val="0"/>
        <w:numPr>
          <w:ilvl w:val="0"/>
          <w:numId w:val="0"/>
        </w:numPr>
        <w:kinsoku/>
        <w:wordWrap/>
        <w:overflowPunct/>
        <w:autoSpaceDE/>
        <w:autoSpaceDN/>
        <w:bidi w:val="0"/>
        <w:spacing w:line="600" w:lineRule="exact"/>
        <w:ind w:firstLine="640" w:firstLineChars="200"/>
        <w:outlineLvl w:val="9"/>
        <w:rPr>
          <w:rFonts w:hint="eastAsia" w:ascii="仿宋" w:hAnsi="仿宋" w:eastAsia="仿宋" w:cs="仿宋"/>
          <w:sz w:val="32"/>
          <w:szCs w:val="32"/>
          <w:shd w:val="clear" w:color="auto" w:fill="FFFFFF"/>
        </w:rPr>
      </w:pPr>
      <w:bookmarkStart w:id="146" w:name="_Toc15784"/>
      <w:bookmarkStart w:id="147" w:name="_Toc11770"/>
      <w:bookmarkStart w:id="148" w:name="_Toc3254"/>
      <w:bookmarkStart w:id="149" w:name="_Toc19368"/>
      <w:r>
        <w:rPr>
          <w:rFonts w:hint="eastAsia" w:ascii="仿宋" w:hAnsi="仿宋" w:eastAsia="仿宋" w:cs="仿宋"/>
          <w:sz w:val="32"/>
          <w:szCs w:val="32"/>
          <w:shd w:val="clear" w:color="auto" w:fill="FFFFFF"/>
          <w:lang w:val="en-US" w:eastAsia="zh-CN"/>
        </w:rPr>
        <w:t>3.</w:t>
      </w:r>
      <w:r>
        <w:rPr>
          <w:rFonts w:hint="eastAsia" w:ascii="仿宋" w:hAnsi="仿宋" w:eastAsia="仿宋" w:cs="仿宋"/>
          <w:sz w:val="32"/>
          <w:szCs w:val="32"/>
          <w:shd w:val="clear" w:color="auto" w:fill="FFFFFF"/>
        </w:rPr>
        <w:t>综合管理情况。</w:t>
      </w:r>
      <w:bookmarkEnd w:id="146"/>
      <w:bookmarkEnd w:id="147"/>
      <w:bookmarkEnd w:id="148"/>
      <w:bookmarkEnd w:id="14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我单位财务管理规范，严格按照《会计法》、《行政单位会计制度》的规定，依法设置会计账簿，并保证其真实性、完整性，根据本单位实际发生的各项业务事项依法进行会计核算、填制会计凭证、登记会计账簿、编制财务会计报表。</w:t>
      </w:r>
      <w:r>
        <w:rPr>
          <w:rFonts w:hint="eastAsia" w:ascii="仿宋" w:hAnsi="仿宋" w:eastAsia="仿宋" w:cs="仿宋"/>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 w:hAnsi="仿宋" w:eastAsia="仿宋" w:cs="仿宋"/>
          <w:sz w:val="32"/>
          <w:szCs w:val="32"/>
        </w:rPr>
        <w:t>我</w:t>
      </w:r>
      <w:r>
        <w:rPr>
          <w:rFonts w:hint="eastAsia" w:ascii="仿宋" w:hAnsi="仿宋" w:eastAsia="仿宋" w:cs="仿宋"/>
          <w:sz w:val="32"/>
          <w:szCs w:val="32"/>
          <w:lang w:eastAsia="zh-CN"/>
        </w:rPr>
        <w:t>单位</w:t>
      </w: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default" w:ascii="仿宋" w:hAnsi="仿宋" w:eastAsia="仿宋" w:cs="仿宋"/>
          <w:sz w:val="32"/>
          <w:szCs w:val="32"/>
        </w:rPr>
        <w:t>无</w:t>
      </w:r>
      <w:r>
        <w:rPr>
          <w:rFonts w:hint="eastAsia" w:ascii="仿宋" w:hAnsi="仿宋" w:eastAsia="仿宋" w:cs="仿宋"/>
          <w:sz w:val="32"/>
          <w:szCs w:val="32"/>
        </w:rPr>
        <w:t>非税收入。</w:t>
      </w:r>
      <w:r>
        <w:rPr>
          <w:rFonts w:hint="eastAsia" w:ascii="仿宋" w:hAnsi="仿宋" w:eastAsia="仿宋" w:cs="仿宋"/>
          <w:sz w:val="32"/>
          <w:szCs w:val="32"/>
          <w:lang w:val="zh-CN"/>
        </w:rPr>
        <w:t>严格按照政府采购有关规定，政府采购目录内的货物与服务全部按要求实施了政府采购，确保了支出管理流程、审批手续的完整；按时完成资产管理信息系统资产清查和上报；内部控制制度健全完整;预决算信息按时公开；单位工作都依法接受财政监督</w:t>
      </w:r>
      <w:r>
        <w:rPr>
          <w:rFonts w:hint="eastAsia" w:ascii="仿宋_GB2312" w:hAnsi="宋体" w:eastAsia="仿宋_GB2312" w:cs="宋体"/>
          <w:color w:val="auto"/>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outlineLvl w:val="2"/>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（二）结果应用情况。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en-US"/>
        </w:rPr>
      </w:pPr>
      <w:r>
        <w:rPr>
          <w:rFonts w:hint="eastAsia" w:ascii="仿宋_GB2312" w:hAnsi="宋体" w:eastAsia="仿宋_GB2312" w:cs="宋体"/>
          <w:color w:val="auto"/>
          <w:kern w:val="0"/>
          <w:sz w:val="32"/>
          <w:szCs w:val="32"/>
          <w:highlight w:val="none"/>
          <w:shd w:val="clear" w:color="auto" w:fill="FFFFFF"/>
          <w:lang w:val="en-US"/>
        </w:rPr>
        <w:t>内部应用</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en-US"/>
        </w:rPr>
      </w:pPr>
      <w:r>
        <w:rPr>
          <w:rFonts w:hint="eastAsia" w:ascii="仿宋_GB2312" w:hAnsi="宋体" w:eastAsia="仿宋_GB2312" w:cs="宋体"/>
          <w:color w:val="auto"/>
          <w:kern w:val="0"/>
          <w:sz w:val="32"/>
          <w:szCs w:val="32"/>
          <w:highlight w:val="none"/>
          <w:shd w:val="clear" w:color="auto" w:fill="FFFFFF"/>
          <w:lang w:val="en-US"/>
        </w:rPr>
        <w:t>预算挂钩机制健全。</w:t>
      </w:r>
      <w:r>
        <w:rPr>
          <w:rFonts w:hint="eastAsia" w:ascii="仿宋_GB2312" w:hAnsi="宋体" w:eastAsia="仿宋_GB2312" w:cs="宋体"/>
          <w:color w:val="auto"/>
          <w:kern w:val="0"/>
          <w:sz w:val="32"/>
          <w:szCs w:val="32"/>
          <w:highlight w:val="none"/>
          <w:shd w:val="clear" w:color="auto" w:fill="FFFFFF"/>
          <w:lang w:val="en-US" w:eastAsia="zh-CN"/>
        </w:rPr>
        <w:t>我单位</w:t>
      </w:r>
      <w:r>
        <w:rPr>
          <w:rFonts w:hint="eastAsia" w:ascii="仿宋_GB2312" w:hAnsi="宋体" w:eastAsia="仿宋_GB2312" w:cs="宋体"/>
          <w:color w:val="auto"/>
          <w:kern w:val="0"/>
          <w:sz w:val="32"/>
          <w:szCs w:val="32"/>
          <w:highlight w:val="none"/>
          <w:shd w:val="clear" w:color="auto" w:fill="FFFFFF"/>
          <w:lang w:val="en-US"/>
        </w:rPr>
        <w:t>将内设机构绩效自评纳入考核体系，建立内设机构预算与绩效挂钩机制，预算挂钩机制健全。</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en-US"/>
        </w:rPr>
      </w:pPr>
      <w:r>
        <w:rPr>
          <w:rFonts w:hint="eastAsia" w:ascii="仿宋_GB2312" w:hAnsi="宋体" w:eastAsia="仿宋_GB2312" w:cs="宋体"/>
          <w:color w:val="auto"/>
          <w:kern w:val="0"/>
          <w:sz w:val="32"/>
          <w:szCs w:val="32"/>
          <w:highlight w:val="none"/>
          <w:shd w:val="clear" w:color="auto" w:fill="FFFFFF"/>
          <w:lang w:val="en-US"/>
        </w:rPr>
        <w:t>信息公开</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en-US"/>
        </w:rPr>
      </w:pPr>
      <w:r>
        <w:rPr>
          <w:rFonts w:hint="eastAsia" w:ascii="仿宋_GB2312" w:hAnsi="宋体" w:eastAsia="仿宋_GB2312" w:cs="宋体"/>
          <w:color w:val="auto"/>
          <w:kern w:val="0"/>
          <w:sz w:val="32"/>
          <w:szCs w:val="32"/>
          <w:highlight w:val="none"/>
          <w:shd w:val="clear" w:color="auto" w:fill="FFFFFF"/>
          <w:lang w:val="en-US"/>
        </w:rPr>
        <w:t>信息公开及时。经核查，</w:t>
      </w:r>
      <w:r>
        <w:rPr>
          <w:rFonts w:hint="eastAsia" w:ascii="仿宋_GB2312" w:hAnsi="宋体" w:eastAsia="仿宋_GB2312" w:cs="宋体"/>
          <w:color w:val="auto"/>
          <w:kern w:val="0"/>
          <w:sz w:val="32"/>
          <w:szCs w:val="32"/>
          <w:highlight w:val="none"/>
          <w:shd w:val="clear" w:color="auto" w:fill="FFFFFF"/>
          <w:lang w:val="en-US" w:eastAsia="zh-CN"/>
        </w:rPr>
        <w:t>我单位暂未开展2021年度决算公开，故</w:t>
      </w:r>
      <w:r>
        <w:rPr>
          <w:rFonts w:hint="eastAsia" w:ascii="仿宋_GB2312" w:hAnsi="宋体" w:eastAsia="仿宋_GB2312" w:cs="宋体"/>
          <w:color w:val="auto"/>
          <w:kern w:val="0"/>
          <w:sz w:val="32"/>
          <w:szCs w:val="32"/>
          <w:highlight w:val="none"/>
          <w:shd w:val="clear" w:color="auto" w:fill="FFFFFF"/>
          <w:lang w:val="en-US"/>
        </w:rPr>
        <w:t>部门整体支出绩效自评报告及其他按要求应公开的绩效信息均</w:t>
      </w:r>
      <w:r>
        <w:rPr>
          <w:rFonts w:hint="eastAsia" w:ascii="仿宋_GB2312" w:hAnsi="宋体" w:eastAsia="仿宋_GB2312" w:cs="宋体"/>
          <w:color w:val="auto"/>
          <w:kern w:val="0"/>
          <w:sz w:val="32"/>
          <w:szCs w:val="32"/>
          <w:highlight w:val="none"/>
          <w:shd w:val="clear" w:color="auto" w:fill="FFFFFF"/>
          <w:lang w:val="en-US" w:eastAsia="zh-CN"/>
        </w:rPr>
        <w:t>未</w:t>
      </w:r>
      <w:r>
        <w:rPr>
          <w:rFonts w:hint="eastAsia" w:ascii="仿宋_GB2312" w:hAnsi="宋体" w:eastAsia="仿宋_GB2312" w:cs="宋体"/>
          <w:color w:val="auto"/>
          <w:kern w:val="0"/>
          <w:sz w:val="32"/>
          <w:szCs w:val="32"/>
          <w:highlight w:val="none"/>
          <w:shd w:val="clear" w:color="auto" w:fill="FFFFFF"/>
          <w:lang w:val="en-US"/>
        </w:rPr>
        <w:t>信息公开。</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en-US"/>
        </w:rPr>
        <w:t>整改反馈</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en-US"/>
        </w:rPr>
        <w:t>及时整改。</w:t>
      </w:r>
      <w:r>
        <w:rPr>
          <w:rFonts w:hint="eastAsia" w:ascii="仿宋_GB2312" w:hAnsi="宋体" w:eastAsia="仿宋_GB2312" w:cs="宋体"/>
          <w:color w:val="auto"/>
          <w:kern w:val="0"/>
          <w:sz w:val="32"/>
          <w:szCs w:val="32"/>
          <w:highlight w:val="none"/>
          <w:shd w:val="clear" w:color="auto" w:fill="FFFFFF"/>
          <w:lang w:val="en-US" w:eastAsia="zh-CN"/>
        </w:rPr>
        <w:t>我单位无整改问题</w:t>
      </w:r>
      <w:r>
        <w:rPr>
          <w:rFonts w:hint="eastAsia" w:ascii="仿宋_GB2312" w:hAnsi="宋体" w:eastAsia="仿宋_GB2312" w:cs="宋体"/>
          <w:color w:val="auto"/>
          <w:kern w:val="0"/>
          <w:sz w:val="32"/>
          <w:szCs w:val="32"/>
          <w:highlight w:val="none"/>
          <w:shd w:val="clear" w:color="auto" w:fill="FFFFFF"/>
          <w:lang w:val="zh-CN"/>
        </w:rPr>
        <w:t>。</w:t>
      </w:r>
    </w:p>
    <w:p>
      <w:pPr>
        <w:widowControl/>
        <w:numPr>
          <w:ilvl w:val="0"/>
          <w:numId w:val="10"/>
        </w:numPr>
        <w:adjustRightInd w:val="0"/>
        <w:snapToGrid w:val="0"/>
        <w:spacing w:line="580" w:lineRule="exact"/>
        <w:ind w:firstLine="640" w:firstLineChars="200"/>
        <w:contextualSpacing/>
        <w:jc w:val="left"/>
        <w:outlineLvl w:val="2"/>
        <w:rPr>
          <w:rFonts w:hint="eastAsia" w:ascii="仿宋_GB2312" w:hAnsi="宋体" w:eastAsia="仿宋_GB2312" w:cs="宋体"/>
          <w:color w:val="auto"/>
          <w:kern w:val="0"/>
          <w:sz w:val="32"/>
          <w:szCs w:val="32"/>
          <w:highlight w:val="none"/>
          <w:u w:val="none"/>
          <w:shd w:val="clear" w:color="auto" w:fill="FFFFFF"/>
          <w:lang w:val="zh-CN"/>
        </w:rPr>
      </w:pPr>
      <w:r>
        <w:rPr>
          <w:rFonts w:hint="eastAsia" w:ascii="仿宋_GB2312" w:hAnsi="宋体" w:eastAsia="仿宋_GB2312" w:cs="宋体"/>
          <w:color w:val="auto"/>
          <w:kern w:val="0"/>
          <w:sz w:val="32"/>
          <w:szCs w:val="32"/>
          <w:highlight w:val="none"/>
          <w:u w:val="none"/>
          <w:shd w:val="clear" w:color="auto" w:fill="FFFFFF"/>
          <w:lang w:val="zh-CN"/>
        </w:rPr>
        <w:t>自评质量</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default" w:ascii="仿宋_GB2312" w:hAnsi="宋体" w:eastAsia="仿宋_GB2312" w:cs="宋体"/>
          <w:color w:val="auto"/>
          <w:kern w:val="0"/>
          <w:sz w:val="32"/>
          <w:szCs w:val="32"/>
          <w:highlight w:val="none"/>
          <w:shd w:val="clear" w:color="auto" w:fill="FFFFFF"/>
          <w:lang w:val="en-US" w:eastAsia="zh-CN"/>
        </w:rPr>
      </w:pPr>
      <w:r>
        <w:rPr>
          <w:rFonts w:hint="eastAsia" w:ascii="仿宋_GB2312" w:hAnsi="宋体" w:eastAsia="仿宋_GB2312" w:cs="宋体"/>
          <w:color w:val="auto"/>
          <w:kern w:val="0"/>
          <w:sz w:val="32"/>
          <w:szCs w:val="32"/>
          <w:highlight w:val="none"/>
          <w:shd w:val="clear" w:color="auto" w:fill="FFFFFF"/>
          <w:lang w:val="en-US" w:eastAsia="zh-CN"/>
        </w:rPr>
        <w:t xml:space="preserve">    本部门部门整体支出自评准确。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ascii="黑体" w:hAnsi="宋体" w:eastAsia="黑体" w:cs="宋体"/>
          <w:color w:val="auto"/>
          <w:kern w:val="0"/>
          <w:sz w:val="32"/>
          <w:szCs w:val="32"/>
          <w:highlight w:val="none"/>
          <w:shd w:val="clear" w:color="auto" w:fill="FFFFFF"/>
        </w:rPr>
      </w:pPr>
      <w:bookmarkStart w:id="150" w:name="_Toc21258"/>
      <w:bookmarkStart w:id="151" w:name="_Toc13273"/>
      <w:r>
        <w:rPr>
          <w:rFonts w:hint="eastAsia" w:ascii="黑体" w:hAnsi="宋体" w:eastAsia="黑体" w:cs="宋体"/>
          <w:color w:val="auto"/>
          <w:kern w:val="0"/>
          <w:sz w:val="32"/>
          <w:szCs w:val="32"/>
          <w:highlight w:val="none"/>
          <w:shd w:val="clear" w:color="auto" w:fill="FFFFFF"/>
        </w:rPr>
        <w:t>四、评价结论及建议</w:t>
      </w:r>
      <w:bookmarkEnd w:id="150"/>
      <w:bookmarkEnd w:id="151"/>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2"/>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（一）评价结论。</w:t>
      </w:r>
    </w:p>
    <w:tbl>
      <w:tblPr>
        <w:tblStyle w:val="23"/>
        <w:tblW w:w="87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62"/>
        <w:gridCol w:w="2147"/>
        <w:gridCol w:w="2122"/>
        <w:gridCol w:w="1274"/>
        <w:gridCol w:w="12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6231"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绩效指标</w:t>
            </w:r>
          </w:p>
        </w:tc>
        <w:tc>
          <w:tcPr>
            <w:tcW w:w="127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指标分值</w:t>
            </w:r>
          </w:p>
        </w:tc>
        <w:tc>
          <w:tcPr>
            <w:tcW w:w="1274" w:type="dxa"/>
            <w:vMerge w:val="restart"/>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b/>
                <w:bCs/>
                <w:color w:val="000000"/>
                <w:kern w:val="0"/>
                <w:sz w:val="18"/>
                <w:szCs w:val="18"/>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9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21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127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4"/>
                <w:szCs w:val="24"/>
                <w:u w:val="none"/>
              </w:rPr>
            </w:pPr>
          </w:p>
        </w:tc>
        <w:tc>
          <w:tcPr>
            <w:tcW w:w="1274"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96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部门管理（80分）</w:t>
            </w: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预算管理（50分）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预算目标制定</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预算目标完成</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预算编制准确</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1"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预算支出规范</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预算动态调整</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内部控制管理（10分）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制度建设</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制度执行</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完成结果（20分）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预算完成</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违规记录</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196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绩效结果应用（20分）</w:t>
            </w: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信息公开（8分）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目标公开</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自评公开</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自评质量（4分）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自评准确</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整改反馈（8分）</w:t>
            </w: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结果整改</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21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应用反馈</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231"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2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95.97</w:t>
            </w:r>
          </w:p>
        </w:tc>
      </w:tr>
    </w:tbl>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中共青年团乐山市沙湾区委员会整体支出绩效评价指标总计得分95.97分</w:t>
      </w:r>
      <w:r>
        <w:rPr>
          <w:rFonts w:hint="eastAsia" w:ascii="仿宋_GB2312" w:hAnsi="宋体" w:eastAsia="仿宋_GB2312" w:cs="宋体"/>
          <w:color w:val="auto"/>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2"/>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（二）存在问题。</w:t>
      </w:r>
    </w:p>
    <w:p>
      <w:pPr>
        <w:pStyle w:val="45"/>
        <w:ind w:firstLine="640"/>
        <w:rPr>
          <w:rFonts w:hint="eastAsia" w:ascii="仿宋_GB2312" w:eastAsia="仿宋_GB2312"/>
          <w:color w:val="auto"/>
          <w:sz w:val="32"/>
          <w:szCs w:val="32"/>
          <w:lang w:val="zh-CN"/>
        </w:rPr>
      </w:pPr>
      <w:r>
        <w:rPr>
          <w:rFonts w:hint="eastAsia" w:ascii="仿宋_GB2312" w:eastAsia="仿宋_GB2312"/>
          <w:color w:val="auto"/>
          <w:sz w:val="32"/>
          <w:szCs w:val="32"/>
          <w:lang w:val="zh-CN"/>
        </w:rPr>
        <w:t>1、预算管理不够精细。在预算管理过程中，需加强全局内设机构的协调联动，保证预算编制的合理与精细，并加强与财政部门的沟通和协调。</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Times New Roman" w:eastAsia="仿宋_GB2312" w:cs="Times New Roman"/>
          <w:color w:val="auto"/>
          <w:sz w:val="32"/>
          <w:szCs w:val="32"/>
          <w:lang w:val="zh-CN"/>
        </w:rPr>
      </w:pPr>
      <w:r>
        <w:rPr>
          <w:rFonts w:hint="eastAsia" w:ascii="仿宋_GB2312" w:eastAsia="仿宋_GB2312"/>
          <w:color w:val="auto"/>
          <w:sz w:val="32"/>
          <w:szCs w:val="32"/>
          <w:lang w:val="zh-CN"/>
        </w:rPr>
        <w:t>2、部分上级项目资金下达时间较晚和少数项目实施受季节</w:t>
      </w:r>
      <w:r>
        <w:rPr>
          <w:rFonts w:hint="eastAsia" w:ascii="仿宋_GB2312" w:hAnsi="Times New Roman" w:eastAsia="仿宋_GB2312" w:cs="Times New Roman"/>
          <w:color w:val="auto"/>
          <w:sz w:val="32"/>
          <w:szCs w:val="32"/>
          <w:lang w:val="zh-CN"/>
        </w:rPr>
        <w:t>性影响导致进展稍缓慢，导致资金拨付缓慢。</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Times New Roman" w:eastAsia="仿宋_GB2312" w:cs="Times New Roman"/>
          <w:color w:val="auto"/>
          <w:sz w:val="32"/>
          <w:szCs w:val="32"/>
          <w:lang w:val="en-US" w:eastAsia="zh-CN"/>
        </w:rPr>
        <w:t>3、对接团员与青少年的需求有差异</w:t>
      </w:r>
      <w:r>
        <w:rPr>
          <w:rFonts w:hint="eastAsia" w:ascii="仿宋_GB2312" w:hAnsi="宋体" w:eastAsia="仿宋_GB2312" w:cs="宋体"/>
          <w:color w:val="auto"/>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2"/>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（三）改进建议。</w:t>
      </w:r>
    </w:p>
    <w:p>
      <w:pPr>
        <w:pStyle w:val="45"/>
        <w:ind w:firstLine="640"/>
        <w:rPr>
          <w:rFonts w:hint="eastAsia" w:ascii="仿宋_GB2312" w:hAnsi="仿宋" w:eastAsia="仿宋_GB2312" w:cs="仿宋"/>
          <w:bCs/>
          <w:color w:val="auto"/>
          <w:sz w:val="32"/>
          <w:szCs w:val="32"/>
          <w:highlight w:val="none"/>
          <w:lang w:val="zh-CN" w:eastAsia="zh-CN"/>
        </w:rPr>
      </w:pPr>
      <w:r>
        <w:rPr>
          <w:rFonts w:hint="eastAsia" w:hAnsi="仿宋" w:cs="仿宋"/>
          <w:bCs/>
          <w:color w:val="auto"/>
          <w:sz w:val="32"/>
          <w:szCs w:val="32"/>
          <w:highlight w:val="none"/>
          <w:lang w:val="en-US" w:eastAsia="zh-CN"/>
        </w:rPr>
        <w:t>1、</w:t>
      </w:r>
      <w:r>
        <w:rPr>
          <w:rFonts w:hint="eastAsia" w:ascii="仿宋_GB2312" w:hAnsi="仿宋" w:eastAsia="仿宋_GB2312" w:cs="仿宋"/>
          <w:bCs/>
          <w:color w:val="auto"/>
          <w:sz w:val="32"/>
          <w:szCs w:val="32"/>
          <w:highlight w:val="none"/>
          <w:lang w:val="zh-CN"/>
        </w:rPr>
        <w:t>各级财政提前项目资金的下达时间，财政应多组织加强政策和业务方面学习的培训，建议细化预算指标、提高预算科学性。</w:t>
      </w:r>
      <w:r>
        <w:rPr>
          <w:rFonts w:hint="eastAsia" w:ascii="仿宋_GB2312" w:hAnsi="微软雅黑" w:eastAsia="仿宋_GB2312"/>
          <w:color w:val="333333"/>
          <w:sz w:val="32"/>
          <w:szCs w:val="32"/>
        </w:rPr>
        <w:t>完善绩效管理基础工作，为实施预算绩效管理</w:t>
      </w:r>
      <w:r>
        <w:rPr>
          <w:rFonts w:hint="eastAsia" w:ascii="仿宋_GB2312" w:hAnsi="仿宋" w:eastAsia="仿宋_GB2312" w:cs="仿宋"/>
          <w:bCs/>
          <w:color w:val="auto"/>
          <w:sz w:val="32"/>
          <w:szCs w:val="32"/>
          <w:highlight w:val="none"/>
          <w:lang w:val="zh-CN"/>
        </w:rPr>
        <w:t>提供技术支撑。首先是加强业务体系建设。预算绩效管理面广、量大，缺乏业务体系的支撑，核心业务就无法拓展实施。加强理论研究，提高思想认识，加强宣传和学习，尽快让预算绩效理念深入人心，形成讲绩效、重绩效的浓厚气氛</w:t>
      </w:r>
      <w:r>
        <w:rPr>
          <w:rFonts w:hint="eastAsia" w:ascii="仿宋_GB2312" w:hAnsi="仿宋" w:eastAsia="仿宋_GB2312" w:cs="仿宋"/>
          <w:bCs/>
          <w:color w:val="auto"/>
          <w:sz w:val="32"/>
          <w:szCs w:val="32"/>
          <w:highlight w:val="none"/>
          <w:lang w:val="zh-CN" w:eastAsia="zh-CN"/>
        </w:rPr>
        <w:t>。</w:t>
      </w:r>
    </w:p>
    <w:p>
      <w:pPr>
        <w:pStyle w:val="45"/>
        <w:ind w:firstLine="640"/>
        <w:rPr>
          <w:rFonts w:hint="eastAsia" w:ascii="仿宋_GB2312" w:hAnsi="仿宋" w:eastAsia="仿宋_GB2312" w:cs="仿宋"/>
          <w:bCs/>
          <w:color w:val="auto"/>
          <w:sz w:val="32"/>
          <w:szCs w:val="32"/>
          <w:highlight w:val="none"/>
          <w:lang w:val="zh-CN"/>
        </w:rPr>
      </w:pPr>
      <w:r>
        <w:rPr>
          <w:rFonts w:hint="eastAsia" w:ascii="仿宋_GB2312" w:hAnsi="仿宋" w:eastAsia="仿宋_GB2312" w:cs="仿宋"/>
          <w:bCs/>
          <w:color w:val="auto"/>
          <w:sz w:val="32"/>
          <w:szCs w:val="32"/>
          <w:highlight w:val="none"/>
          <w:lang w:val="en-US" w:eastAsia="zh-CN"/>
        </w:rPr>
        <w:t>2、多了解现代青年的思想变化，以及对团组织、少先队等工作的需求</w:t>
      </w:r>
      <w:r>
        <w:rPr>
          <w:rFonts w:hint="eastAsia" w:ascii="仿宋_GB2312" w:hAnsi="仿宋" w:eastAsia="仿宋_GB2312" w:cs="仿宋"/>
          <w:bCs/>
          <w:color w:val="auto"/>
          <w:sz w:val="32"/>
          <w:szCs w:val="32"/>
          <w:highlight w:val="none"/>
          <w:lang w:val="zh-CN"/>
        </w:rPr>
        <w:t>。</w:t>
      </w:r>
    </w:p>
    <w:p>
      <w:pPr>
        <w:pStyle w:val="9"/>
        <w:rPr>
          <w:rFonts w:hint="eastAsia" w:hAnsi="宋体" w:cs="宋体"/>
          <w:color w:val="auto"/>
          <w:kern w:val="0"/>
          <w:sz w:val="32"/>
          <w:szCs w:val="32"/>
          <w:highlight w:val="none"/>
          <w:shd w:val="clear" w:color="auto" w:fill="FFFFFF"/>
          <w:lang w:val="zh-CN"/>
        </w:rPr>
      </w:pPr>
    </w:p>
    <w:p>
      <w:pPr>
        <w:pStyle w:val="9"/>
        <w:rPr>
          <w:rFonts w:hint="eastAsia"/>
          <w:color w:val="auto"/>
          <w:highlight w:val="none"/>
          <w:lang w:val="zh-CN"/>
        </w:rPr>
      </w:pPr>
      <w:r>
        <w:rPr>
          <w:rFonts w:hint="eastAsia" w:hAnsi="宋体" w:cs="宋体"/>
          <w:color w:val="auto"/>
          <w:kern w:val="0"/>
          <w:sz w:val="32"/>
          <w:szCs w:val="32"/>
          <w:highlight w:val="none"/>
          <w:shd w:val="clear" w:color="auto" w:fill="FFFFFF"/>
          <w:lang w:val="zh-CN"/>
        </w:rPr>
        <w:t>附件</w:t>
      </w:r>
    </w:p>
    <w:p>
      <w:pPr>
        <w:spacing w:line="600" w:lineRule="exact"/>
        <w:jc w:val="center"/>
        <w:rPr>
          <w:rFonts w:ascii="方正小标宋简体" w:hAnsi="方正小标宋简体" w:eastAsia="方正小标宋简体" w:cs="方正小标宋简体"/>
          <w:sz w:val="40"/>
          <w:szCs w:val="40"/>
          <w:lang w:val="zh-CN"/>
        </w:rPr>
      </w:pPr>
      <w:r>
        <w:rPr>
          <w:rFonts w:hint="eastAsia" w:ascii="方正小标宋简体" w:hAnsi="方正小标宋简体" w:eastAsia="方正小标宋简体" w:cs="方正小标宋简体"/>
          <w:sz w:val="40"/>
          <w:szCs w:val="40"/>
        </w:rPr>
        <w:t>2021年</w:t>
      </w:r>
      <w:r>
        <w:rPr>
          <w:rFonts w:hint="eastAsia" w:ascii="方正小标宋简体" w:hAnsi="方正小标宋简体" w:eastAsia="方正小标宋简体" w:cs="方正小标宋简体"/>
          <w:sz w:val="40"/>
          <w:szCs w:val="40"/>
          <w:lang w:val="zh-CN"/>
        </w:rPr>
        <w:t>专项预算项目支出绩效自评报告范本</w:t>
      </w:r>
    </w:p>
    <w:p>
      <w:pPr>
        <w:spacing w:line="600" w:lineRule="exact"/>
        <w:ind w:firstLine="883"/>
        <w:jc w:val="center"/>
        <w:rPr>
          <w:rFonts w:ascii="仿宋_GB2312" w:hAnsi="宋体" w:eastAsia="仿宋_GB2312"/>
          <w:sz w:val="32"/>
          <w:szCs w:val="32"/>
          <w:lang w:val="zh-CN"/>
        </w:rPr>
      </w:pPr>
      <w:r>
        <w:rPr>
          <w:rFonts w:hint="eastAsia" w:ascii="仿宋_GB2312" w:hAnsi="宋体" w:eastAsia="仿宋_GB2312"/>
          <w:sz w:val="32"/>
          <w:szCs w:val="32"/>
          <w:lang w:val="zh-CN"/>
        </w:rPr>
        <w:t>（主管部门自评）</w:t>
      </w:r>
    </w:p>
    <w:p>
      <w:pPr>
        <w:spacing w:line="600" w:lineRule="exact"/>
        <w:ind w:firstLine="640"/>
        <w:jc w:val="center"/>
        <w:rPr>
          <w:rFonts w:ascii="宋体" w:hAnsi="宋体"/>
          <w:sz w:val="32"/>
          <w:szCs w:val="32"/>
          <w:lang w:val="zh-CN"/>
        </w:rPr>
      </w:pPr>
    </w:p>
    <w:p>
      <w:pPr>
        <w:adjustRightInd w:val="0"/>
        <w:snapToGrid w:val="0"/>
        <w:spacing w:line="600" w:lineRule="exact"/>
        <w:ind w:firstLine="720"/>
        <w:outlineLvl w:val="1"/>
        <w:rPr>
          <w:rFonts w:ascii="黑体" w:hAnsi="宋体" w:eastAsia="黑体"/>
          <w:sz w:val="32"/>
          <w:szCs w:val="32"/>
          <w:lang w:val="zh-CN"/>
        </w:rPr>
      </w:pPr>
      <w:bookmarkStart w:id="152" w:name="_Toc29085"/>
      <w:bookmarkStart w:id="153" w:name="_Toc15779"/>
      <w:r>
        <w:rPr>
          <w:rFonts w:hint="eastAsia" w:ascii="黑体" w:hAnsi="宋体" w:eastAsia="黑体"/>
          <w:sz w:val="32"/>
          <w:szCs w:val="32"/>
        </w:rPr>
        <w:t>一、</w:t>
      </w:r>
      <w:r>
        <w:rPr>
          <w:rFonts w:hint="eastAsia" w:ascii="黑体" w:hAnsi="宋体" w:eastAsia="黑体"/>
          <w:sz w:val="32"/>
          <w:szCs w:val="32"/>
          <w:lang w:val="zh-CN"/>
        </w:rPr>
        <w:t>项目概况</w:t>
      </w:r>
      <w:bookmarkEnd w:id="152"/>
      <w:bookmarkEnd w:id="153"/>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3．资金管理办法制定情况，资金支持具体项目的条件、范围与支持方式概况。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pPr>
        <w:adjustRightInd w:val="0"/>
        <w:snapToGrid w:val="0"/>
        <w:spacing w:line="600" w:lineRule="exact"/>
        <w:ind w:firstLine="720"/>
        <w:outlineLvl w:val="1"/>
        <w:rPr>
          <w:rFonts w:ascii="黑体" w:hAnsi="宋体" w:eastAsia="黑体"/>
          <w:sz w:val="32"/>
          <w:szCs w:val="32"/>
        </w:rPr>
      </w:pPr>
      <w:bookmarkStart w:id="154" w:name="_Toc13625"/>
      <w:bookmarkStart w:id="155" w:name="_Toc8777"/>
      <w:r>
        <w:rPr>
          <w:rFonts w:hint="eastAsia" w:ascii="黑体" w:hAnsi="宋体" w:eastAsia="黑体"/>
          <w:sz w:val="32"/>
          <w:szCs w:val="32"/>
        </w:rPr>
        <w:t>二、项目资金申报及使用情况</w:t>
      </w:r>
      <w:bookmarkEnd w:id="154"/>
      <w:bookmarkEnd w:id="155"/>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说明项目资金申报、批复及预算调整等程序的相关情况。</w:t>
      </w:r>
    </w:p>
    <w:p>
      <w:pPr>
        <w:adjustRightInd w:val="0"/>
        <w:snapToGrid w:val="0"/>
        <w:spacing w:line="600" w:lineRule="exact"/>
        <w:ind w:firstLine="720"/>
        <w:outlineLvl w:val="2"/>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在说明该项目全省资金计划的基础上，分项目大类或市（州）分别说明各类资金计划情况，包括中央、省、市（州）、县（市、区）财政资金、项目单位自筹、其他渠道资金（包括银行贷款及其他资金等）。</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汇总统计截止评价时点该项目全省资金到位情况。在此基础上分项目大类或市（州）统计各类资金到位情况，包括中央、省、市（州）、县（市、区）财政资金、项目单位自筹及其他渠道资金（包括银行贷款及其他资金等）。将资金到位情况与资金计划进行比对，并重点围绕资金到位率、到位及时性等进行评价，对未到位或到位不及时的情况作出分析说明。</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总体评价各项目实施单位财务管理制度是否健全，是否严格执行财务管理制度，账务处理是否及时，会计核算是否规范等。</w:t>
      </w:r>
    </w:p>
    <w:p>
      <w:pPr>
        <w:adjustRightInd w:val="0"/>
        <w:snapToGrid w:val="0"/>
        <w:spacing w:line="600" w:lineRule="exact"/>
        <w:ind w:firstLine="720"/>
        <w:outlineLvl w:val="1"/>
        <w:rPr>
          <w:rFonts w:ascii="黑体" w:hAnsi="宋体" w:eastAsia="黑体"/>
          <w:sz w:val="32"/>
          <w:szCs w:val="32"/>
        </w:rPr>
      </w:pPr>
      <w:bookmarkStart w:id="156" w:name="_Toc12151"/>
      <w:bookmarkStart w:id="157" w:name="_Toc5078"/>
      <w:r>
        <w:rPr>
          <w:rFonts w:hint="eastAsia" w:ascii="黑体" w:hAnsi="宋体" w:eastAsia="黑体"/>
          <w:sz w:val="32"/>
          <w:szCs w:val="32"/>
        </w:rPr>
        <w:t>三、项目实施及管理情况</w:t>
      </w:r>
      <w:bookmarkEnd w:id="156"/>
      <w:bookmarkEnd w:id="157"/>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outlineLvl w:val="1"/>
        <w:rPr>
          <w:rFonts w:ascii="仿宋_GB2312" w:hAnsi="宋体" w:eastAsia="仿宋_GB2312"/>
          <w:sz w:val="32"/>
          <w:szCs w:val="32"/>
          <w:lang w:val="zh-CN"/>
        </w:rPr>
      </w:pPr>
      <w:bookmarkStart w:id="158" w:name="_Toc23324"/>
      <w:bookmarkStart w:id="159" w:name="_Toc8"/>
      <w:r>
        <w:rPr>
          <w:rFonts w:hint="eastAsia" w:ascii="黑体" w:hAnsi="宋体" w:eastAsia="黑体"/>
          <w:sz w:val="32"/>
          <w:szCs w:val="32"/>
        </w:rPr>
        <w:t>四、项目绩效情况</w:t>
      </w:r>
      <w:bookmarkEnd w:id="158"/>
      <w:bookmarkEnd w:id="159"/>
      <w:r>
        <w:rPr>
          <w:rFonts w:hint="eastAsia" w:ascii="仿宋_GB2312" w:hAnsi="宋体" w:eastAsia="仿宋_GB2312"/>
          <w:sz w:val="32"/>
          <w:szCs w:val="32"/>
          <w:lang w:val="zh-CN"/>
        </w:rPr>
        <w:tab/>
      </w:r>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包括项目完成数量、质量、时效、成本等情况，资金结余情况，违规记录等，对照项目计划完成目标，对截止评价时点的任务量完成、质量标准、进度计划、成本控制目标的实现程度进行评价，并进行分析说明。</w:t>
      </w:r>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从项目经济效益、社会效益、生态效益、可持续效益以及服务对象满意度等方面对项目效益进行全面分析评价。</w:t>
      </w:r>
    </w:p>
    <w:p>
      <w:pPr>
        <w:adjustRightInd w:val="0"/>
        <w:snapToGrid w:val="0"/>
        <w:spacing w:line="600" w:lineRule="exact"/>
        <w:ind w:firstLine="720"/>
        <w:outlineLvl w:val="1"/>
        <w:rPr>
          <w:rFonts w:ascii="黑体" w:hAnsi="宋体" w:eastAsia="黑体"/>
          <w:sz w:val="32"/>
          <w:szCs w:val="32"/>
        </w:rPr>
      </w:pPr>
      <w:bookmarkStart w:id="160" w:name="_Toc32164"/>
      <w:bookmarkStart w:id="161" w:name="_Toc20371"/>
      <w:r>
        <w:rPr>
          <w:rFonts w:hint="eastAsia" w:ascii="黑体" w:hAnsi="宋体" w:eastAsia="黑体"/>
          <w:sz w:val="32"/>
          <w:szCs w:val="32"/>
        </w:rPr>
        <w:t>五、评价结论及建议</w:t>
      </w:r>
      <w:bookmarkEnd w:id="160"/>
      <w:bookmarkEnd w:id="161"/>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结合自评情况，分析存在的问题及原因。</w:t>
      </w:r>
      <w:r>
        <w:rPr>
          <w:rFonts w:hint="eastAsia" w:ascii="仿宋_GB2312" w:hAnsi="宋体" w:eastAsia="仿宋_GB2312"/>
          <w:sz w:val="32"/>
          <w:szCs w:val="32"/>
          <w:lang w:val="zh-CN"/>
        </w:rPr>
        <w:tab/>
      </w:r>
    </w:p>
    <w:p>
      <w:pPr>
        <w:adjustRightInd w:val="0"/>
        <w:snapToGrid w:val="0"/>
        <w:spacing w:line="600" w:lineRule="exact"/>
        <w:ind w:firstLine="720"/>
        <w:outlineLvl w:val="2"/>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s="Times New Roman"/>
          <w:color w:val="auto"/>
          <w:sz w:val="32"/>
          <w:szCs w:val="32"/>
          <w:highlight w:val="none"/>
          <w:lang w:val="zh-CN"/>
        </w:rPr>
      </w:pPr>
      <w:r>
        <w:rPr>
          <w:rFonts w:hint="eastAsia" w:ascii="仿宋_GB2312" w:hAnsi="宋体" w:eastAsia="仿宋_GB2312"/>
          <w:sz w:val="32"/>
          <w:szCs w:val="32"/>
          <w:lang w:val="zh-CN"/>
        </w:rPr>
        <w:t>针对项目自评中发现的问题，提出下一步改进完善的意见及有关政策性建议</w:t>
      </w:r>
      <w:r>
        <w:rPr>
          <w:rFonts w:hint="eastAsia" w:ascii="仿宋_GB2312" w:hAnsi="宋体" w:eastAsia="仿宋_GB2312" w:cs="Times New Roman"/>
          <w:color w:val="auto"/>
          <w:sz w:val="32"/>
          <w:szCs w:val="32"/>
          <w:highlight w:val="none"/>
          <w:lang w:val="zh-CN"/>
        </w:rPr>
        <w:t>。</w:t>
      </w:r>
    </w:p>
    <w:p>
      <w:pPr>
        <w:keepNext w:val="0"/>
        <w:keepLines w:val="0"/>
        <w:pageBreakBefore w:val="0"/>
        <w:widowControl/>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pStyle w:val="2"/>
        <w:rPr>
          <w:rFonts w:hint="eastAsia" w:ascii="仿宋_GB2312" w:hAnsi="宋体" w:eastAsia="仿宋_GB2312" w:cs="宋体"/>
          <w:b w:val="0"/>
          <w:bCs w:val="0"/>
          <w:color w:val="auto"/>
          <w:kern w:val="0"/>
          <w:sz w:val="32"/>
          <w:szCs w:val="32"/>
          <w:highlight w:val="none"/>
          <w:shd w:val="clear" w:color="auto" w:fill="FFFFFF"/>
          <w:lang w:val="zh-CN"/>
        </w:rPr>
      </w:pPr>
    </w:p>
    <w:p>
      <w:pPr>
        <w:rPr>
          <w:rFonts w:hint="eastAsia"/>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r>
        <w:rPr>
          <w:rFonts w:hint="eastAsia" w:ascii="仿宋_GB2312" w:hAnsi="宋体" w:eastAsia="仿宋_GB2312" w:cs="宋体"/>
          <w:b w:val="0"/>
          <w:bCs w:val="0"/>
          <w:color w:val="auto"/>
          <w:kern w:val="0"/>
          <w:sz w:val="32"/>
          <w:szCs w:val="32"/>
          <w:highlight w:val="none"/>
          <w:shd w:val="clear" w:color="auto" w:fill="FFFFFF"/>
          <w:lang w:val="zh-CN"/>
        </w:rPr>
        <w:t>附表：</w:t>
      </w:r>
    </w:p>
    <w:tbl>
      <w:tblPr>
        <w:tblStyle w:val="23"/>
        <w:tblpPr w:leftFromText="180" w:rightFromText="180" w:vertAnchor="text" w:horzAnchor="page" w:tblpX="1411" w:tblpY="308"/>
        <w:tblOverlap w:val="never"/>
        <w:tblW w:w="9579" w:type="dxa"/>
        <w:tblInd w:w="0" w:type="dxa"/>
        <w:tblLayout w:type="fixed"/>
        <w:tblCellMar>
          <w:top w:w="0" w:type="dxa"/>
          <w:left w:w="108" w:type="dxa"/>
          <w:bottom w:w="0" w:type="dxa"/>
          <w:right w:w="108" w:type="dxa"/>
        </w:tblCellMar>
      </w:tblPr>
      <w:tblGrid>
        <w:gridCol w:w="1928"/>
        <w:gridCol w:w="1114"/>
        <w:gridCol w:w="1595"/>
        <w:gridCol w:w="1160"/>
        <w:gridCol w:w="1194"/>
        <w:gridCol w:w="2352"/>
        <w:gridCol w:w="236"/>
      </w:tblGrid>
      <w:tr>
        <w:tblPrEx>
          <w:tblCellMar>
            <w:top w:w="0" w:type="dxa"/>
            <w:left w:w="108" w:type="dxa"/>
            <w:bottom w:w="0" w:type="dxa"/>
            <w:right w:w="108" w:type="dxa"/>
          </w:tblCellMar>
        </w:tblPrEx>
        <w:trPr>
          <w:trHeight w:val="694" w:hRule="atLeast"/>
        </w:trPr>
        <w:tc>
          <w:tcPr>
            <w:tcW w:w="9343" w:type="dxa"/>
            <w:gridSpan w:val="6"/>
            <w:tcBorders>
              <w:top w:val="nil"/>
              <w:left w:val="nil"/>
              <w:bottom w:val="nil"/>
              <w:right w:val="nil"/>
            </w:tcBorders>
            <w:shd w:val="clear" w:color="auto" w:fill="auto"/>
            <w:vAlign w:val="center"/>
          </w:tcPr>
          <w:p>
            <w:pPr>
              <w:widowControl/>
              <w:jc w:val="center"/>
              <w:textAlignment w:val="center"/>
              <w:rPr>
                <w:rFonts w:ascii="宋体" w:hAnsi="宋体" w:cs="宋体"/>
                <w:b/>
                <w:sz w:val="32"/>
                <w:szCs w:val="32"/>
              </w:rPr>
            </w:pPr>
            <w:bookmarkStart w:id="162" w:name="_Toc15396618"/>
            <w:r>
              <w:rPr>
                <w:rFonts w:hint="eastAsia" w:ascii="宋体" w:hAnsi="宋体" w:cs="宋体"/>
                <w:b/>
                <w:sz w:val="32"/>
                <w:szCs w:val="32"/>
              </w:rPr>
              <w:t>2021年特定目标类部门预算项目绩效目标自评</w:t>
            </w:r>
          </w:p>
        </w:tc>
        <w:tc>
          <w:tcPr>
            <w:tcW w:w="236" w:type="dxa"/>
            <w:tcBorders>
              <w:top w:val="nil"/>
              <w:left w:val="nil"/>
              <w:bottom w:val="nil"/>
              <w:right w:val="nil"/>
            </w:tcBorders>
            <w:shd w:val="clear" w:color="auto" w:fill="auto"/>
            <w:vAlign w:val="center"/>
          </w:tcPr>
          <w:p>
            <w:pPr>
              <w:widowControl/>
              <w:jc w:val="center"/>
              <w:textAlignment w:val="center"/>
              <w:rPr>
                <w:rFonts w:ascii="宋体" w:hAnsi="宋体" w:cs="宋体"/>
                <w:b/>
                <w:kern w:val="0"/>
                <w:sz w:val="32"/>
                <w:szCs w:val="32"/>
              </w:rPr>
            </w:pPr>
          </w:p>
        </w:tc>
      </w:tr>
      <w:tr>
        <w:tblPrEx>
          <w:tblCellMar>
            <w:top w:w="0" w:type="dxa"/>
            <w:left w:w="108" w:type="dxa"/>
            <w:bottom w:w="0" w:type="dxa"/>
            <w:right w:w="108" w:type="dxa"/>
          </w:tblCellMar>
        </w:tblPrEx>
        <w:trPr>
          <w:gridAfter w:val="1"/>
          <w:wAfter w:w="236" w:type="dxa"/>
          <w:trHeight w:val="339" w:hRule="atLeast"/>
        </w:trPr>
        <w:tc>
          <w:tcPr>
            <w:tcW w:w="30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sz w:val="24"/>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p>
        </w:tc>
      </w:tr>
      <w:tr>
        <w:tblPrEx>
          <w:tblCellMar>
            <w:top w:w="0" w:type="dxa"/>
            <w:left w:w="108" w:type="dxa"/>
            <w:bottom w:w="0" w:type="dxa"/>
            <w:right w:w="108" w:type="dxa"/>
          </w:tblCellMar>
        </w:tblPrEx>
        <w:trPr>
          <w:gridAfter w:val="1"/>
          <w:wAfter w:w="236" w:type="dxa"/>
          <w:trHeight w:val="361" w:hRule="atLeast"/>
        </w:trPr>
        <w:tc>
          <w:tcPr>
            <w:tcW w:w="30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eastAsia" w:ascii="宋体" w:hAnsi="宋体" w:eastAsia="宋体" w:cs="宋体"/>
                <w:kern w:val="0"/>
                <w:sz w:val="24"/>
                <w:lang w:eastAsia="zh-CN"/>
              </w:rPr>
            </w:pPr>
            <w:r>
              <w:rPr>
                <w:rFonts w:hint="eastAsia" w:ascii="宋体" w:hAnsi="宋体" w:cs="宋体"/>
                <w:kern w:val="0"/>
                <w:sz w:val="24"/>
              </w:rPr>
              <w:t>项目预算</w:t>
            </w:r>
          </w:p>
          <w:p>
            <w:pPr>
              <w:widowControl/>
              <w:spacing w:line="320" w:lineRule="exact"/>
              <w:jc w:val="center"/>
              <w:textAlignment w:val="center"/>
              <w:rPr>
                <w:rFonts w:hint="eastAsia" w:ascii="宋体" w:hAnsi="宋体" w:eastAsia="宋体" w:cs="宋体"/>
                <w:kern w:val="0"/>
                <w:sz w:val="24"/>
                <w:lang w:eastAsia="zh-CN"/>
              </w:rPr>
            </w:pPr>
            <w:r>
              <w:rPr>
                <w:rFonts w:hint="eastAsia" w:ascii="宋体" w:hAnsi="宋体" w:cs="宋体"/>
                <w:kern w:val="0"/>
                <w:sz w:val="24"/>
              </w:rPr>
              <w:t>执行情况</w:t>
            </w:r>
          </w:p>
          <w:p>
            <w:pPr>
              <w:widowControl/>
              <w:spacing w:line="320" w:lineRule="exact"/>
              <w:jc w:val="center"/>
              <w:textAlignment w:val="center"/>
              <w:rPr>
                <w:rFonts w:ascii="宋体" w:hAnsi="宋体" w:cs="宋体"/>
                <w:sz w:val="24"/>
              </w:rPr>
            </w:pPr>
            <w:r>
              <w:rPr>
                <w:rFonts w:hint="eastAsia" w:ascii="宋体" w:hAnsi="宋体" w:cs="宋体"/>
                <w:kern w:val="0"/>
                <w:sz w:val="24"/>
              </w:rPr>
              <w:t>（万元）</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right"/>
              <w:textAlignment w:val="center"/>
              <w:rPr>
                <w:rFonts w:ascii="宋体" w:hAnsi="宋体" w:cs="宋体"/>
                <w:sz w:val="24"/>
              </w:rPr>
            </w:pPr>
          </w:p>
        </w:tc>
      </w:tr>
      <w:tr>
        <w:tblPrEx>
          <w:tblCellMar>
            <w:top w:w="0" w:type="dxa"/>
            <w:left w:w="108" w:type="dxa"/>
            <w:bottom w:w="0" w:type="dxa"/>
            <w:right w:w="108" w:type="dxa"/>
          </w:tblCellMar>
        </w:tblPrEx>
        <w:trPr>
          <w:gridAfter w:val="1"/>
          <w:wAfter w:w="236" w:type="dxa"/>
          <w:trHeight w:val="669" w:hRule="atLeast"/>
        </w:trPr>
        <w:tc>
          <w:tcPr>
            <w:tcW w:w="30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sz w:val="24"/>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sz w:val="24"/>
              </w:rPr>
            </w:pPr>
          </w:p>
        </w:tc>
      </w:tr>
      <w:tr>
        <w:tblPrEx>
          <w:tblCellMar>
            <w:top w:w="0" w:type="dxa"/>
            <w:left w:w="108" w:type="dxa"/>
            <w:bottom w:w="0" w:type="dxa"/>
            <w:right w:w="108" w:type="dxa"/>
          </w:tblCellMar>
        </w:tblPrEx>
        <w:trPr>
          <w:gridAfter w:val="1"/>
          <w:wAfter w:w="236" w:type="dxa"/>
          <w:trHeight w:val="361" w:hRule="atLeast"/>
        </w:trPr>
        <w:tc>
          <w:tcPr>
            <w:tcW w:w="30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sz w:val="24"/>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p>
        </w:tc>
      </w:tr>
      <w:tr>
        <w:tblPrEx>
          <w:tblCellMar>
            <w:top w:w="0" w:type="dxa"/>
            <w:left w:w="108" w:type="dxa"/>
            <w:bottom w:w="0" w:type="dxa"/>
            <w:right w:w="108" w:type="dxa"/>
          </w:tblCellMar>
        </w:tblPrEx>
        <w:trPr>
          <w:gridAfter w:val="1"/>
          <w:wAfter w:w="236" w:type="dxa"/>
          <w:trHeight w:val="339" w:hRule="atLeast"/>
        </w:trPr>
        <w:tc>
          <w:tcPr>
            <w:tcW w:w="1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38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tblPrEx>
          <w:tblCellMar>
            <w:top w:w="0" w:type="dxa"/>
            <w:left w:w="108" w:type="dxa"/>
            <w:bottom w:w="0" w:type="dxa"/>
            <w:right w:w="108" w:type="dxa"/>
          </w:tblCellMar>
        </w:tblPrEx>
        <w:trPr>
          <w:gridAfter w:val="1"/>
          <w:wAfter w:w="236" w:type="dxa"/>
          <w:trHeight w:val="830"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sz w:val="24"/>
              </w:rPr>
            </w:pPr>
          </w:p>
        </w:tc>
        <w:tc>
          <w:tcPr>
            <w:tcW w:w="3869" w:type="dxa"/>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top"/>
              <w:rPr>
                <w:rFonts w:ascii="宋体" w:hAnsi="宋体" w:cs="宋体"/>
                <w:sz w:val="24"/>
              </w:rPr>
            </w:pPr>
          </w:p>
        </w:tc>
        <w:tc>
          <w:tcPr>
            <w:tcW w:w="3546"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top"/>
              <w:rPr>
                <w:rFonts w:ascii="宋体" w:hAnsi="宋体" w:cs="宋体"/>
                <w:sz w:val="24"/>
              </w:rPr>
            </w:pPr>
          </w:p>
        </w:tc>
      </w:tr>
      <w:tr>
        <w:tblPrEx>
          <w:tblCellMar>
            <w:top w:w="0" w:type="dxa"/>
            <w:left w:w="108" w:type="dxa"/>
            <w:bottom w:w="0" w:type="dxa"/>
            <w:right w:w="108" w:type="dxa"/>
          </w:tblCellMar>
        </w:tblPrEx>
        <w:trPr>
          <w:gridAfter w:val="1"/>
          <w:wAfter w:w="236" w:type="dxa"/>
          <w:trHeight w:val="723" w:hRule="atLeast"/>
        </w:trPr>
        <w:tc>
          <w:tcPr>
            <w:tcW w:w="1928"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114" w:type="dxa"/>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37" w:hRule="atLeast"/>
        </w:trPr>
        <w:tc>
          <w:tcPr>
            <w:tcW w:w="1928"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37" w:hRule="atLeast"/>
        </w:trPr>
        <w:tc>
          <w:tcPr>
            <w:tcW w:w="1928"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37" w:hRule="atLeast"/>
        </w:trPr>
        <w:tc>
          <w:tcPr>
            <w:tcW w:w="1928"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504" w:hRule="atLeast"/>
        </w:trPr>
        <w:tc>
          <w:tcPr>
            <w:tcW w:w="1928"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669" w:hRule="atLeast"/>
        </w:trPr>
        <w:tc>
          <w:tcPr>
            <w:tcW w:w="1928"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效益</w:t>
            </w:r>
          </w:p>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669" w:hRule="atLeast"/>
        </w:trPr>
        <w:tc>
          <w:tcPr>
            <w:tcW w:w="1928"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669" w:hRule="atLeast"/>
        </w:trPr>
        <w:tc>
          <w:tcPr>
            <w:tcW w:w="1928"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ind w:left="463" w:leftChars="87" w:hanging="280" w:hangingChars="100"/>
              <w:jc w:val="left"/>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生态效益  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669" w:hRule="atLeast"/>
        </w:trPr>
        <w:tc>
          <w:tcPr>
            <w:tcW w:w="1928"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679" w:hRule="atLeast"/>
        </w:trPr>
        <w:tc>
          <w:tcPr>
            <w:tcW w:w="1928"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满意</w:t>
            </w:r>
          </w:p>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度指标</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bl>
    <w:p>
      <w:pPr>
        <w:widowControl/>
        <w:adjustRightInd w:val="0"/>
        <w:snapToGrid w:val="0"/>
        <w:spacing w:line="580" w:lineRule="exact"/>
        <w:contextualSpacing/>
        <w:jc w:val="left"/>
      </w:pPr>
      <w:r>
        <w:rPr>
          <w:rFonts w:hint="eastAsia" w:ascii="仿宋_GB2312" w:hAnsi="宋体" w:eastAsia="仿宋_GB2312" w:cs="宋体"/>
          <w:kern w:val="0"/>
          <w:sz w:val="32"/>
          <w:szCs w:val="32"/>
          <w:shd w:val="clear" w:color="auto" w:fill="FFFFFF"/>
        </w:rPr>
        <w:t>（注：有两个及以上特定目标类部门预算项目的，需分别开展绩效目标自评并填写附表）</w:t>
      </w:r>
    </w:p>
    <w:p>
      <w:pPr>
        <w:spacing w:line="600" w:lineRule="exact"/>
        <w:jc w:val="center"/>
        <w:outlineLvl w:val="9"/>
        <w:rPr>
          <w:rFonts w:hint="eastAsia" w:ascii="黑体" w:hAnsi="黑体" w:eastAsia="黑体"/>
          <w:color w:val="auto"/>
          <w:sz w:val="44"/>
          <w:szCs w:val="44"/>
          <w:highlight w:val="none"/>
        </w:rPr>
      </w:pPr>
    </w:p>
    <w:p>
      <w:pPr>
        <w:spacing w:line="600" w:lineRule="exact"/>
        <w:jc w:val="center"/>
        <w:outlineLvl w:val="9"/>
        <w:rPr>
          <w:rFonts w:hint="eastAsia" w:ascii="黑体" w:hAnsi="黑体" w:eastAsia="黑体"/>
          <w:color w:val="auto"/>
          <w:sz w:val="44"/>
          <w:szCs w:val="44"/>
          <w:highlight w:val="none"/>
        </w:rPr>
      </w:pPr>
    </w:p>
    <w:p>
      <w:pPr>
        <w:pStyle w:val="2"/>
        <w:rPr>
          <w:rFonts w:hint="eastAsia" w:ascii="黑体" w:hAnsi="黑体" w:eastAsia="黑体"/>
          <w:color w:val="auto"/>
          <w:sz w:val="44"/>
          <w:szCs w:val="44"/>
          <w:highlight w:val="none"/>
        </w:rPr>
      </w:pPr>
    </w:p>
    <w:p>
      <w:pPr>
        <w:spacing w:line="600" w:lineRule="exact"/>
        <w:jc w:val="both"/>
        <w:outlineLvl w:val="9"/>
        <w:rPr>
          <w:rFonts w:hint="eastAsia" w:ascii="黑体" w:hAnsi="黑体" w:eastAsia="黑体"/>
          <w:color w:val="auto"/>
          <w:sz w:val="44"/>
          <w:szCs w:val="44"/>
          <w:highlight w:val="none"/>
        </w:rPr>
      </w:pPr>
    </w:p>
    <w:p>
      <w:pPr>
        <w:spacing w:line="600" w:lineRule="exact"/>
        <w:jc w:val="center"/>
        <w:outlineLvl w:val="0"/>
        <w:rPr>
          <w:rFonts w:hint="eastAsia" w:ascii="仿宋" w:hAnsi="仿宋" w:eastAsia="仿宋"/>
          <w:b w:val="0"/>
          <w:color w:val="auto"/>
          <w:highlight w:val="none"/>
        </w:rPr>
      </w:pPr>
      <w:bookmarkStart w:id="163" w:name="_Toc2030"/>
      <w:r>
        <w:rPr>
          <w:rFonts w:hint="eastAsia" w:ascii="黑体" w:hAnsi="黑体" w:eastAsia="黑体"/>
          <w:color w:val="auto"/>
          <w:sz w:val="44"/>
          <w:szCs w:val="44"/>
          <w:highlight w:val="none"/>
        </w:rPr>
        <w:t>第</w:t>
      </w:r>
      <w:r>
        <w:rPr>
          <w:rStyle w:val="37"/>
          <w:rFonts w:hint="eastAsia" w:ascii="黑体" w:hAnsi="黑体" w:eastAsia="黑体"/>
          <w:b w:val="0"/>
          <w:color w:val="auto"/>
          <w:highlight w:val="none"/>
        </w:rPr>
        <w:t>五部分 附表</w:t>
      </w:r>
      <w:bookmarkEnd w:id="63"/>
      <w:bookmarkEnd w:id="162"/>
      <w:bookmarkEnd w:id="163"/>
      <w:bookmarkStart w:id="164" w:name="_Toc15396619"/>
    </w:p>
    <w:p>
      <w:pPr>
        <w:pStyle w:val="5"/>
        <w:rPr>
          <w:rFonts w:ascii="仿宋" w:hAnsi="仿宋" w:eastAsia="仿宋"/>
          <w:color w:val="auto"/>
          <w:highlight w:val="none"/>
        </w:rPr>
      </w:pPr>
      <w:bookmarkStart w:id="165" w:name="_Toc17051"/>
      <w:r>
        <w:rPr>
          <w:rFonts w:hint="eastAsia" w:ascii="仿宋" w:hAnsi="仿宋" w:eastAsia="仿宋"/>
          <w:b w:val="0"/>
          <w:color w:val="auto"/>
          <w:highlight w:val="none"/>
        </w:rPr>
        <w:t>一、收</w:t>
      </w:r>
      <w:r>
        <w:rPr>
          <w:rStyle w:val="38"/>
          <w:rFonts w:hint="eastAsia" w:ascii="仿宋" w:hAnsi="仿宋" w:eastAsia="仿宋"/>
          <w:b w:val="0"/>
          <w:bCs w:val="0"/>
          <w:color w:val="auto"/>
          <w:highlight w:val="none"/>
        </w:rPr>
        <w:t>入支出决算总表</w:t>
      </w:r>
      <w:bookmarkEnd w:id="164"/>
      <w:bookmarkEnd w:id="165"/>
    </w:p>
    <w:p>
      <w:pPr>
        <w:pStyle w:val="5"/>
        <w:rPr>
          <w:rFonts w:ascii="仿宋" w:hAnsi="仿宋" w:eastAsia="仿宋"/>
          <w:color w:val="auto"/>
          <w:highlight w:val="none"/>
        </w:rPr>
      </w:pPr>
      <w:bookmarkStart w:id="166" w:name="_Toc15396620"/>
      <w:bookmarkStart w:id="167" w:name="_Toc14439"/>
      <w:r>
        <w:rPr>
          <w:rFonts w:hint="eastAsia" w:ascii="仿宋" w:hAnsi="仿宋" w:eastAsia="仿宋"/>
          <w:b w:val="0"/>
          <w:color w:val="auto"/>
          <w:highlight w:val="none"/>
        </w:rPr>
        <w:t>二、收</w:t>
      </w:r>
      <w:r>
        <w:rPr>
          <w:rStyle w:val="38"/>
          <w:rFonts w:hint="eastAsia" w:ascii="仿宋" w:hAnsi="仿宋" w:eastAsia="仿宋"/>
          <w:b w:val="0"/>
          <w:bCs w:val="0"/>
          <w:color w:val="auto"/>
          <w:highlight w:val="none"/>
        </w:rPr>
        <w:t>入决算表</w:t>
      </w:r>
      <w:bookmarkEnd w:id="166"/>
      <w:bookmarkEnd w:id="167"/>
    </w:p>
    <w:p>
      <w:pPr>
        <w:pStyle w:val="5"/>
        <w:rPr>
          <w:rFonts w:ascii="仿宋" w:hAnsi="仿宋" w:eastAsia="仿宋"/>
          <w:color w:val="auto"/>
          <w:highlight w:val="none"/>
        </w:rPr>
      </w:pPr>
      <w:bookmarkStart w:id="168" w:name="_Toc15396621"/>
      <w:bookmarkStart w:id="169" w:name="_Toc3642"/>
      <w:r>
        <w:rPr>
          <w:rStyle w:val="38"/>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38"/>
          <w:rFonts w:hint="eastAsia" w:ascii="仿宋" w:hAnsi="仿宋" w:eastAsia="仿宋"/>
          <w:b w:val="0"/>
          <w:bCs w:val="0"/>
          <w:color w:val="auto"/>
          <w:highlight w:val="none"/>
        </w:rPr>
        <w:t>出决算表</w:t>
      </w:r>
      <w:bookmarkEnd w:id="168"/>
      <w:bookmarkEnd w:id="169"/>
    </w:p>
    <w:p>
      <w:pPr>
        <w:pStyle w:val="5"/>
        <w:rPr>
          <w:rFonts w:ascii="仿宋" w:hAnsi="仿宋" w:eastAsia="仿宋"/>
          <w:b w:val="0"/>
          <w:color w:val="auto"/>
          <w:highlight w:val="none"/>
        </w:rPr>
      </w:pPr>
      <w:bookmarkStart w:id="170" w:name="_Toc15396622"/>
      <w:bookmarkStart w:id="171" w:name="_Toc11527"/>
      <w:r>
        <w:rPr>
          <w:rStyle w:val="38"/>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38"/>
          <w:rFonts w:hint="eastAsia" w:ascii="仿宋" w:hAnsi="仿宋" w:eastAsia="仿宋"/>
          <w:b w:val="0"/>
          <w:bCs w:val="0"/>
          <w:color w:val="auto"/>
          <w:highlight w:val="none"/>
        </w:rPr>
        <w:t>政拨款收入支出决算总表</w:t>
      </w:r>
      <w:bookmarkEnd w:id="170"/>
      <w:bookmarkEnd w:id="171"/>
    </w:p>
    <w:p>
      <w:pPr>
        <w:pStyle w:val="5"/>
        <w:rPr>
          <w:rStyle w:val="38"/>
          <w:rFonts w:ascii="仿宋" w:hAnsi="仿宋" w:eastAsia="仿宋"/>
          <w:b w:val="0"/>
          <w:bCs w:val="0"/>
          <w:color w:val="auto"/>
          <w:highlight w:val="none"/>
        </w:rPr>
      </w:pPr>
      <w:bookmarkStart w:id="172" w:name="_Toc15396623"/>
      <w:bookmarkStart w:id="173" w:name="_Toc24062"/>
      <w:r>
        <w:rPr>
          <w:rStyle w:val="38"/>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38"/>
          <w:rFonts w:hint="eastAsia" w:ascii="仿宋" w:hAnsi="仿宋" w:eastAsia="仿宋"/>
          <w:b w:val="0"/>
          <w:bCs w:val="0"/>
          <w:color w:val="auto"/>
          <w:highlight w:val="none"/>
        </w:rPr>
        <w:t>政拨款支出决算明细表</w:t>
      </w:r>
      <w:bookmarkEnd w:id="172"/>
      <w:bookmarkEnd w:id="173"/>
      <w:bookmarkStart w:id="174" w:name="_Toc15396624"/>
    </w:p>
    <w:p>
      <w:pPr>
        <w:pStyle w:val="5"/>
        <w:rPr>
          <w:rFonts w:ascii="仿宋" w:hAnsi="仿宋" w:eastAsia="仿宋"/>
          <w:color w:val="auto"/>
          <w:highlight w:val="none"/>
        </w:rPr>
      </w:pPr>
      <w:bookmarkStart w:id="175" w:name="_Toc6253"/>
      <w:r>
        <w:rPr>
          <w:rStyle w:val="38"/>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38"/>
          <w:rFonts w:hint="eastAsia" w:ascii="仿宋" w:hAnsi="仿宋" w:eastAsia="仿宋"/>
          <w:b w:val="0"/>
          <w:bCs w:val="0"/>
          <w:color w:val="auto"/>
          <w:highlight w:val="none"/>
        </w:rPr>
        <w:t>般公共预算财政拨款支出决算表</w:t>
      </w:r>
      <w:bookmarkEnd w:id="174"/>
      <w:bookmarkEnd w:id="175"/>
    </w:p>
    <w:p>
      <w:pPr>
        <w:pStyle w:val="5"/>
        <w:rPr>
          <w:rFonts w:ascii="仿宋" w:hAnsi="仿宋" w:eastAsia="仿宋"/>
          <w:color w:val="auto"/>
          <w:highlight w:val="none"/>
        </w:rPr>
      </w:pPr>
      <w:bookmarkStart w:id="176" w:name="_Toc15396625"/>
      <w:bookmarkStart w:id="177" w:name="_Toc24788"/>
      <w:r>
        <w:rPr>
          <w:rStyle w:val="38"/>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38"/>
          <w:rFonts w:hint="eastAsia" w:ascii="仿宋" w:hAnsi="仿宋" w:eastAsia="仿宋"/>
          <w:b w:val="0"/>
          <w:bCs w:val="0"/>
          <w:color w:val="auto"/>
          <w:highlight w:val="none"/>
        </w:rPr>
        <w:t>般公共预算财政拨款支出决算明细表</w:t>
      </w:r>
      <w:bookmarkEnd w:id="176"/>
      <w:bookmarkEnd w:id="177"/>
    </w:p>
    <w:p>
      <w:pPr>
        <w:pStyle w:val="5"/>
        <w:rPr>
          <w:rFonts w:ascii="仿宋" w:hAnsi="仿宋" w:eastAsia="仿宋"/>
          <w:color w:val="auto"/>
          <w:highlight w:val="none"/>
        </w:rPr>
      </w:pPr>
      <w:bookmarkStart w:id="178" w:name="_Toc15396626"/>
      <w:bookmarkStart w:id="179" w:name="_Toc16758"/>
      <w:r>
        <w:rPr>
          <w:rStyle w:val="38"/>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38"/>
          <w:rFonts w:hint="eastAsia" w:ascii="仿宋" w:hAnsi="仿宋" w:eastAsia="仿宋"/>
          <w:b w:val="0"/>
          <w:bCs w:val="0"/>
          <w:color w:val="auto"/>
          <w:highlight w:val="none"/>
        </w:rPr>
        <w:t>般公共预算财政拨款基本支出决算表</w:t>
      </w:r>
      <w:bookmarkEnd w:id="178"/>
      <w:bookmarkEnd w:id="179"/>
    </w:p>
    <w:p>
      <w:pPr>
        <w:pStyle w:val="5"/>
        <w:rPr>
          <w:rFonts w:ascii="仿宋" w:hAnsi="仿宋" w:eastAsia="仿宋"/>
          <w:color w:val="auto"/>
          <w:highlight w:val="none"/>
        </w:rPr>
      </w:pPr>
      <w:bookmarkStart w:id="180" w:name="_Toc15396627"/>
      <w:bookmarkStart w:id="181" w:name="_Toc20287"/>
      <w:r>
        <w:rPr>
          <w:rStyle w:val="38"/>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38"/>
          <w:rFonts w:hint="eastAsia" w:ascii="仿宋" w:hAnsi="仿宋" w:eastAsia="仿宋"/>
          <w:b w:val="0"/>
          <w:bCs w:val="0"/>
          <w:color w:val="auto"/>
          <w:highlight w:val="none"/>
        </w:rPr>
        <w:t>般公共预算财政拨款项目支出决算表</w:t>
      </w:r>
      <w:bookmarkEnd w:id="180"/>
      <w:bookmarkEnd w:id="181"/>
    </w:p>
    <w:p>
      <w:pPr>
        <w:pStyle w:val="5"/>
        <w:rPr>
          <w:rFonts w:ascii="仿宋" w:hAnsi="仿宋" w:eastAsia="仿宋"/>
          <w:color w:val="auto"/>
          <w:highlight w:val="none"/>
        </w:rPr>
      </w:pPr>
      <w:bookmarkStart w:id="182" w:name="_Toc15396628"/>
      <w:bookmarkStart w:id="183" w:name="_Toc16198"/>
      <w:r>
        <w:rPr>
          <w:rStyle w:val="38"/>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38"/>
          <w:rFonts w:hint="eastAsia" w:ascii="仿宋" w:hAnsi="仿宋" w:eastAsia="仿宋"/>
          <w:b w:val="0"/>
          <w:bCs w:val="0"/>
          <w:color w:val="auto"/>
          <w:highlight w:val="none"/>
        </w:rPr>
        <w:t>般公共预算财政拨款“三公”经费支出决算表</w:t>
      </w:r>
      <w:bookmarkEnd w:id="182"/>
      <w:bookmarkEnd w:id="183"/>
    </w:p>
    <w:p>
      <w:pPr>
        <w:pStyle w:val="5"/>
        <w:rPr>
          <w:rFonts w:ascii="仿宋" w:hAnsi="仿宋" w:eastAsia="仿宋"/>
          <w:color w:val="auto"/>
          <w:highlight w:val="none"/>
        </w:rPr>
      </w:pPr>
      <w:bookmarkStart w:id="184" w:name="_Toc15396629"/>
      <w:bookmarkStart w:id="185" w:name="_Toc27069"/>
      <w:r>
        <w:rPr>
          <w:rStyle w:val="38"/>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38"/>
          <w:rFonts w:hint="eastAsia" w:ascii="仿宋" w:hAnsi="仿宋" w:eastAsia="仿宋"/>
          <w:b w:val="0"/>
          <w:bCs w:val="0"/>
          <w:color w:val="auto"/>
          <w:highlight w:val="none"/>
        </w:rPr>
        <w:t>府性基金预算财政拨款收入支出决算表</w:t>
      </w:r>
      <w:bookmarkEnd w:id="184"/>
      <w:bookmarkEnd w:id="185"/>
    </w:p>
    <w:p>
      <w:pPr>
        <w:pStyle w:val="5"/>
        <w:rPr>
          <w:rFonts w:ascii="仿宋" w:hAnsi="仿宋" w:eastAsia="仿宋"/>
          <w:color w:val="auto"/>
          <w:highlight w:val="none"/>
        </w:rPr>
      </w:pPr>
      <w:bookmarkStart w:id="186" w:name="_Toc15396630"/>
      <w:bookmarkStart w:id="187" w:name="_Toc26280"/>
      <w:r>
        <w:rPr>
          <w:rStyle w:val="38"/>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38"/>
          <w:rFonts w:hint="eastAsia" w:ascii="仿宋" w:hAnsi="仿宋" w:eastAsia="仿宋"/>
          <w:b w:val="0"/>
          <w:bCs w:val="0"/>
          <w:color w:val="auto"/>
          <w:highlight w:val="none"/>
        </w:rPr>
        <w:t>府性基金预算财政拨款“三公”经费支出决算表</w:t>
      </w:r>
      <w:bookmarkEnd w:id="186"/>
      <w:bookmarkEnd w:id="187"/>
    </w:p>
    <w:p>
      <w:pPr>
        <w:pStyle w:val="5"/>
        <w:rPr>
          <w:rStyle w:val="38"/>
          <w:rFonts w:hint="eastAsia" w:ascii="仿宋" w:hAnsi="仿宋" w:eastAsia="仿宋"/>
          <w:b w:val="0"/>
          <w:bCs w:val="0"/>
          <w:color w:val="auto"/>
          <w:highlight w:val="none"/>
        </w:rPr>
      </w:pPr>
      <w:bookmarkStart w:id="188" w:name="_Toc15396631"/>
      <w:bookmarkStart w:id="189" w:name="_Toc30499"/>
      <w:r>
        <w:rPr>
          <w:rStyle w:val="38"/>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38"/>
          <w:rFonts w:hint="eastAsia" w:ascii="仿宋" w:hAnsi="仿宋" w:eastAsia="仿宋"/>
          <w:b w:val="0"/>
          <w:bCs w:val="0"/>
          <w:color w:val="auto"/>
          <w:highlight w:val="none"/>
        </w:rPr>
        <w:t>有资本经营预算</w:t>
      </w:r>
      <w:r>
        <w:rPr>
          <w:rStyle w:val="38"/>
          <w:rFonts w:hint="eastAsia" w:ascii="仿宋" w:hAnsi="仿宋" w:eastAsia="仿宋"/>
          <w:b w:val="0"/>
          <w:bCs w:val="0"/>
          <w:color w:val="auto"/>
          <w:highlight w:val="none"/>
          <w:lang w:eastAsia="zh-CN"/>
        </w:rPr>
        <w:t>财政拨款收入</w:t>
      </w:r>
      <w:r>
        <w:rPr>
          <w:rStyle w:val="38"/>
          <w:rFonts w:hint="eastAsia" w:ascii="仿宋" w:hAnsi="仿宋" w:eastAsia="仿宋"/>
          <w:b w:val="0"/>
          <w:bCs w:val="0"/>
          <w:color w:val="auto"/>
          <w:highlight w:val="none"/>
        </w:rPr>
        <w:t>支出决算表</w:t>
      </w:r>
      <w:bookmarkEnd w:id="188"/>
      <w:bookmarkEnd w:id="189"/>
    </w:p>
    <w:p>
      <w:pPr>
        <w:rPr>
          <w:rFonts w:hint="eastAsia" w:eastAsia="仿宋"/>
          <w:color w:val="auto"/>
          <w:highlight w:val="none"/>
          <w:lang w:eastAsia="zh-CN"/>
        </w:rPr>
      </w:pPr>
      <w:bookmarkStart w:id="190" w:name="_Toc31598"/>
      <w:r>
        <w:rPr>
          <w:rStyle w:val="38"/>
          <w:rFonts w:hint="eastAsia" w:ascii="仿宋" w:hAnsi="仿宋" w:eastAsia="仿宋"/>
          <w:b w:val="0"/>
          <w:bCs w:val="0"/>
          <w:color w:val="auto"/>
          <w:highlight w:val="none"/>
          <w:lang w:eastAsia="zh-CN"/>
        </w:rPr>
        <w:t>十四、国有资本经营预算财政拨款支出决算表</w:t>
      </w:r>
      <w:bookmarkEnd w:id="190"/>
    </w:p>
    <w:sectPr>
      <w:footerReference r:id="rId9" w:type="firs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6192EB-69A0-4BBD-BA85-8C17C4442B5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2" w:fontKey="{C4B05E8A-39C9-4ED8-8769-8643B353153F}"/>
  </w:font>
  <w:font w:name="仿宋_GB2312">
    <w:altName w:val="仿宋"/>
    <w:panose1 w:val="02010609030101010101"/>
    <w:charset w:val="86"/>
    <w:family w:val="modern"/>
    <w:pitch w:val="default"/>
    <w:sig w:usb0="00000000" w:usb1="00000000" w:usb2="00000000" w:usb3="00000000" w:csb0="00040000" w:csb1="00000000"/>
    <w:embedRegular r:id="rId3" w:fontKey="{31101A57-9A12-4926-85B0-0C2789FFABF3}"/>
  </w:font>
  <w:font w:name="仿宋">
    <w:panose1 w:val="02010609060101010101"/>
    <w:charset w:val="86"/>
    <w:family w:val="auto"/>
    <w:pitch w:val="default"/>
    <w:sig w:usb0="800002BF" w:usb1="38CF7CFA" w:usb2="00000016" w:usb3="00000000" w:csb0="00040001" w:csb1="00000000"/>
    <w:embedRegular r:id="rId4" w:fontKey="{98736535-CE9A-4893-B843-96C1D8BC5B13}"/>
  </w:font>
  <w:font w:name="楷体_GB2312">
    <w:altName w:val="楷体"/>
    <w:panose1 w:val="02010609030101010101"/>
    <w:charset w:val="86"/>
    <w:family w:val="modern"/>
    <w:pitch w:val="default"/>
    <w:sig w:usb0="00000000" w:usb1="00000000" w:usb2="00000000" w:usb3="00000000" w:csb0="00040000" w:csb1="00000000"/>
    <w:embedRegular r:id="rId5" w:fontKey="{BACC6588-7698-41F4-B574-59EAC980F38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6" w:fontKey="{99647F5B-A154-4C6D-8788-82F04ACF5DA9}"/>
  </w:font>
  <w:font w:name="微软雅黑">
    <w:panose1 w:val="020B0503020204020204"/>
    <w:charset w:val="86"/>
    <w:family w:val="auto"/>
    <w:pitch w:val="default"/>
    <w:sig w:usb0="80000287" w:usb1="280F3C52" w:usb2="00000016" w:usb3="00000000" w:csb0="0004001F" w:csb1="00000000"/>
    <w:embedRegular r:id="rId7" w:fontKey="{ACB128E6-35D5-4076-A452-FE707C8CE08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4"/>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pPr>
                          <w:pStyle w:val="14"/>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v:textbox>
            </v:shape>
          </w:pict>
        </mc:Fallback>
      </mc:AlternateContent>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4"/>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sdt>
                    <w:sdtPr>
                      <w:id w:val="-1994781956"/>
                    </w:sdtPr>
                    <w:sdtContent>
                      <w:p>
                        <w:pPr>
                          <w:pStyle w:val="14"/>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v:textbox>
            </v:shape>
          </w:pict>
        </mc:Fallback>
      </mc:AlternateContent>
    </w:r>
  </w:p>
  <w:p>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72002"/>
    <w:multiLevelType w:val="singleLevel"/>
    <w:tmpl w:val="B0B72002"/>
    <w:lvl w:ilvl="0" w:tentative="0">
      <w:start w:val="3"/>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E794925"/>
    <w:multiLevelType w:val="singleLevel"/>
    <w:tmpl w:val="3E794925"/>
    <w:lvl w:ilvl="0" w:tentative="0">
      <w:start w:val="3"/>
      <w:numFmt w:val="chineseCounting"/>
      <w:suff w:val="nothing"/>
      <w:lvlText w:val="（%1）"/>
      <w:lvlJc w:val="left"/>
      <w:rPr>
        <w:rFonts w:hint="eastAsia"/>
      </w:rPr>
    </w:lvl>
  </w:abstractNum>
  <w:abstractNum w:abstractNumId="5">
    <w:nsid w:val="3F6A67F9"/>
    <w:multiLevelType w:val="singleLevel"/>
    <w:tmpl w:val="3F6A67F9"/>
    <w:lvl w:ilvl="0" w:tentative="0">
      <w:start w:val="1"/>
      <w:numFmt w:val="decimal"/>
      <w:lvlText w:val="%1."/>
      <w:lvlJc w:val="left"/>
      <w:pPr>
        <w:tabs>
          <w:tab w:val="left" w:pos="312"/>
        </w:tabs>
      </w:pPr>
    </w:lvl>
  </w:abstractNum>
  <w:abstractNum w:abstractNumId="6">
    <w:nsid w:val="4DE2FA0B"/>
    <w:multiLevelType w:val="singleLevel"/>
    <w:tmpl w:val="4DE2FA0B"/>
    <w:lvl w:ilvl="0" w:tentative="0">
      <w:start w:val="1"/>
      <w:numFmt w:val="decimal"/>
      <w:lvlText w:val="%1."/>
      <w:lvlJc w:val="left"/>
      <w:pPr>
        <w:tabs>
          <w:tab w:val="left" w:pos="312"/>
        </w:tabs>
      </w:pPr>
    </w:lvl>
  </w:abstractNum>
  <w:abstractNum w:abstractNumId="7">
    <w:nsid w:val="5B63281F"/>
    <w:multiLevelType w:val="multilevel"/>
    <w:tmpl w:val="5B63281F"/>
    <w:lvl w:ilvl="0" w:tentative="0">
      <w:start w:val="1"/>
      <w:numFmt w:val="decimal"/>
      <w:pStyle w:val="46"/>
      <w:suff w:val="nothing"/>
      <w:lvlText w:val="%1."/>
      <w:lvlJc w:val="left"/>
      <w:pPr>
        <w:ind w:left="0" w:firstLine="635"/>
      </w:pPr>
      <w:rPr>
        <w:rFonts w:hint="eastAsia"/>
      </w:rPr>
    </w:lvl>
    <w:lvl w:ilvl="1" w:tentative="0">
      <w:start w:val="1"/>
      <w:numFmt w:val="lowerLetter"/>
      <w:lvlText w:val="%2)"/>
      <w:lvlJc w:val="left"/>
      <w:pPr>
        <w:ind w:left="1475" w:hanging="420"/>
      </w:pPr>
    </w:lvl>
    <w:lvl w:ilvl="2" w:tentative="0">
      <w:start w:val="1"/>
      <w:numFmt w:val="lowerRoman"/>
      <w:lvlText w:val="%3."/>
      <w:lvlJc w:val="right"/>
      <w:pPr>
        <w:ind w:left="1895" w:hanging="420"/>
      </w:pPr>
    </w:lvl>
    <w:lvl w:ilvl="3" w:tentative="0">
      <w:start w:val="1"/>
      <w:numFmt w:val="decimal"/>
      <w:lvlText w:val="%4."/>
      <w:lvlJc w:val="left"/>
      <w:pPr>
        <w:ind w:left="2315" w:hanging="420"/>
      </w:pPr>
    </w:lvl>
    <w:lvl w:ilvl="4" w:tentative="0">
      <w:start w:val="1"/>
      <w:numFmt w:val="lowerLetter"/>
      <w:lvlText w:val="%5)"/>
      <w:lvlJc w:val="left"/>
      <w:pPr>
        <w:ind w:left="2735" w:hanging="420"/>
      </w:pPr>
    </w:lvl>
    <w:lvl w:ilvl="5" w:tentative="0">
      <w:start w:val="1"/>
      <w:numFmt w:val="lowerRoman"/>
      <w:lvlText w:val="%6."/>
      <w:lvlJc w:val="right"/>
      <w:pPr>
        <w:ind w:left="3155" w:hanging="420"/>
      </w:pPr>
    </w:lvl>
    <w:lvl w:ilvl="6" w:tentative="0">
      <w:start w:val="1"/>
      <w:numFmt w:val="decimal"/>
      <w:lvlText w:val="%7."/>
      <w:lvlJc w:val="left"/>
      <w:pPr>
        <w:ind w:left="3575" w:hanging="420"/>
      </w:pPr>
    </w:lvl>
    <w:lvl w:ilvl="7" w:tentative="0">
      <w:start w:val="1"/>
      <w:numFmt w:val="lowerLetter"/>
      <w:lvlText w:val="%8)"/>
      <w:lvlJc w:val="left"/>
      <w:pPr>
        <w:ind w:left="3995" w:hanging="420"/>
      </w:pPr>
    </w:lvl>
    <w:lvl w:ilvl="8" w:tentative="0">
      <w:start w:val="1"/>
      <w:numFmt w:val="lowerRoman"/>
      <w:lvlText w:val="%9."/>
      <w:lvlJc w:val="right"/>
      <w:pPr>
        <w:ind w:left="4415" w:hanging="420"/>
      </w:pPr>
    </w:lvl>
  </w:abstractNum>
  <w:abstractNum w:abstractNumId="8">
    <w:nsid w:val="6F035666"/>
    <w:multiLevelType w:val="singleLevel"/>
    <w:tmpl w:val="6F035666"/>
    <w:lvl w:ilvl="0" w:tentative="0">
      <w:start w:val="1"/>
      <w:numFmt w:val="decimal"/>
      <w:lvlText w:val="%1."/>
      <w:lvlJc w:val="left"/>
      <w:pPr>
        <w:tabs>
          <w:tab w:val="left" w:pos="312"/>
        </w:tabs>
        <w:ind w:left="-13"/>
      </w:pPr>
    </w:lvl>
  </w:abstractNum>
  <w:abstractNum w:abstractNumId="9">
    <w:nsid w:val="7EE55BF3"/>
    <w:multiLevelType w:val="multilevel"/>
    <w:tmpl w:val="7EE55BF3"/>
    <w:lvl w:ilvl="0" w:tentative="0">
      <w:start w:val="1"/>
      <w:numFmt w:val="chineseCountingThousand"/>
      <w:pStyle w:val="50"/>
      <w:suff w:val="nothing"/>
      <w:lvlText w:val="（%1）"/>
      <w:lvlJc w:val="left"/>
      <w:pPr>
        <w:ind w:left="5" w:firstLine="635"/>
      </w:pPr>
      <w:rPr>
        <w:rFonts w:hint="eastAsia"/>
      </w:rPr>
    </w:lvl>
    <w:lvl w:ilvl="1" w:tentative="0">
      <w:start w:val="1"/>
      <w:numFmt w:val="decimal"/>
      <w:lvlText w:val="%2."/>
      <w:lvlJc w:val="left"/>
      <w:pPr>
        <w:ind w:left="985" w:hanging="360"/>
      </w:pPr>
      <w:rPr>
        <w:rFonts w:hint="default"/>
      </w:rPr>
    </w:lvl>
    <w:lvl w:ilvl="2" w:tentative="0">
      <w:start w:val="1"/>
      <w:numFmt w:val="lowerRoman"/>
      <w:lvlText w:val="%3."/>
      <w:lvlJc w:val="right"/>
      <w:pPr>
        <w:ind w:left="1465" w:hanging="420"/>
      </w:pPr>
    </w:lvl>
    <w:lvl w:ilvl="3" w:tentative="0">
      <w:start w:val="1"/>
      <w:numFmt w:val="decimal"/>
      <w:lvlText w:val="%4."/>
      <w:lvlJc w:val="left"/>
      <w:pPr>
        <w:ind w:left="1885" w:hanging="420"/>
      </w:pPr>
    </w:lvl>
    <w:lvl w:ilvl="4" w:tentative="0">
      <w:start w:val="1"/>
      <w:numFmt w:val="lowerLetter"/>
      <w:lvlText w:val="%5)"/>
      <w:lvlJc w:val="left"/>
      <w:pPr>
        <w:ind w:left="2305" w:hanging="420"/>
      </w:pPr>
    </w:lvl>
    <w:lvl w:ilvl="5" w:tentative="0">
      <w:start w:val="1"/>
      <w:numFmt w:val="lowerRoman"/>
      <w:lvlText w:val="%6."/>
      <w:lvlJc w:val="right"/>
      <w:pPr>
        <w:ind w:left="2725" w:hanging="420"/>
      </w:pPr>
    </w:lvl>
    <w:lvl w:ilvl="6" w:tentative="0">
      <w:start w:val="1"/>
      <w:numFmt w:val="decimal"/>
      <w:lvlText w:val="%7."/>
      <w:lvlJc w:val="left"/>
      <w:pPr>
        <w:ind w:left="3145" w:hanging="420"/>
      </w:pPr>
    </w:lvl>
    <w:lvl w:ilvl="7" w:tentative="0">
      <w:start w:val="1"/>
      <w:numFmt w:val="lowerLetter"/>
      <w:lvlText w:val="%8)"/>
      <w:lvlJc w:val="left"/>
      <w:pPr>
        <w:ind w:left="3565" w:hanging="420"/>
      </w:pPr>
    </w:lvl>
    <w:lvl w:ilvl="8" w:tentative="0">
      <w:start w:val="1"/>
      <w:numFmt w:val="lowerRoman"/>
      <w:lvlText w:val="%9."/>
      <w:lvlJc w:val="right"/>
      <w:pPr>
        <w:ind w:left="3985" w:hanging="420"/>
      </w:pPr>
    </w:lvl>
  </w:abstractNum>
  <w:num w:numId="1">
    <w:abstractNumId w:val="7"/>
  </w:num>
  <w:num w:numId="2">
    <w:abstractNumId w:val="9"/>
  </w:num>
  <w:num w:numId="3">
    <w:abstractNumId w:val="5"/>
  </w:num>
  <w:num w:numId="4">
    <w:abstractNumId w:val="3"/>
  </w:num>
  <w:num w:numId="5">
    <w:abstractNumId w:val="8"/>
  </w:num>
  <w:num w:numId="6">
    <w:abstractNumId w:val="0"/>
  </w:num>
  <w:num w:numId="7">
    <w:abstractNumId w:val="1"/>
  </w:num>
  <w:num w:numId="8">
    <w:abstractNumId w:val="2"/>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ZWNkMmU3NjU2ZTlhYjk3N2NkM2U5Y2IxNWNhYj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3366"/>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32078"/>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29E"/>
    <w:rsid w:val="00A237D8"/>
    <w:rsid w:val="00A268C4"/>
    <w:rsid w:val="00A307CD"/>
    <w:rsid w:val="00A331C8"/>
    <w:rsid w:val="00A40A00"/>
    <w:rsid w:val="00A4142F"/>
    <w:rsid w:val="00A422EB"/>
    <w:rsid w:val="00A45BB7"/>
    <w:rsid w:val="00A56D7D"/>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41F92"/>
    <w:rsid w:val="0116312F"/>
    <w:rsid w:val="01703458"/>
    <w:rsid w:val="01963029"/>
    <w:rsid w:val="02C10E79"/>
    <w:rsid w:val="02C132B2"/>
    <w:rsid w:val="033B1FDD"/>
    <w:rsid w:val="0379691B"/>
    <w:rsid w:val="0388769C"/>
    <w:rsid w:val="03C54999"/>
    <w:rsid w:val="03DD612A"/>
    <w:rsid w:val="03F37758"/>
    <w:rsid w:val="049E3777"/>
    <w:rsid w:val="04AA7785"/>
    <w:rsid w:val="04D87570"/>
    <w:rsid w:val="04E24654"/>
    <w:rsid w:val="04F73202"/>
    <w:rsid w:val="057A40CC"/>
    <w:rsid w:val="05CA131B"/>
    <w:rsid w:val="063A5C93"/>
    <w:rsid w:val="064A5629"/>
    <w:rsid w:val="06EF5D92"/>
    <w:rsid w:val="09405AF0"/>
    <w:rsid w:val="09475E50"/>
    <w:rsid w:val="09BC4137"/>
    <w:rsid w:val="09DA6CC4"/>
    <w:rsid w:val="09F00E3B"/>
    <w:rsid w:val="09F2092F"/>
    <w:rsid w:val="0A1C3478"/>
    <w:rsid w:val="0A2032A3"/>
    <w:rsid w:val="0A8303C0"/>
    <w:rsid w:val="0B64718D"/>
    <w:rsid w:val="0B8A37D8"/>
    <w:rsid w:val="0BB3106B"/>
    <w:rsid w:val="0BE133C4"/>
    <w:rsid w:val="0C050C47"/>
    <w:rsid w:val="0CC36E72"/>
    <w:rsid w:val="0D0A2536"/>
    <w:rsid w:val="0D0F753F"/>
    <w:rsid w:val="0D5825D8"/>
    <w:rsid w:val="0DFA6539"/>
    <w:rsid w:val="0E2741A7"/>
    <w:rsid w:val="0E4312DC"/>
    <w:rsid w:val="0EC87D19"/>
    <w:rsid w:val="0F115C3A"/>
    <w:rsid w:val="0F2F1911"/>
    <w:rsid w:val="0F386966"/>
    <w:rsid w:val="0F9A4F2B"/>
    <w:rsid w:val="101A6FC1"/>
    <w:rsid w:val="107D1E45"/>
    <w:rsid w:val="10BF33E1"/>
    <w:rsid w:val="10C055FF"/>
    <w:rsid w:val="10CD3161"/>
    <w:rsid w:val="111B4A43"/>
    <w:rsid w:val="11327891"/>
    <w:rsid w:val="118107EC"/>
    <w:rsid w:val="11835A46"/>
    <w:rsid w:val="11DD6519"/>
    <w:rsid w:val="11E3021C"/>
    <w:rsid w:val="11ED3D46"/>
    <w:rsid w:val="12521AED"/>
    <w:rsid w:val="12A367ED"/>
    <w:rsid w:val="133B475F"/>
    <w:rsid w:val="13573257"/>
    <w:rsid w:val="14223741"/>
    <w:rsid w:val="1461411A"/>
    <w:rsid w:val="14771CDF"/>
    <w:rsid w:val="14E94D54"/>
    <w:rsid w:val="151D2886"/>
    <w:rsid w:val="15973CBB"/>
    <w:rsid w:val="159919E7"/>
    <w:rsid w:val="15D57614"/>
    <w:rsid w:val="15F92A9C"/>
    <w:rsid w:val="163A4802"/>
    <w:rsid w:val="16BB723D"/>
    <w:rsid w:val="171B4F84"/>
    <w:rsid w:val="172E6071"/>
    <w:rsid w:val="1785593F"/>
    <w:rsid w:val="18015F3F"/>
    <w:rsid w:val="18503A79"/>
    <w:rsid w:val="186407F9"/>
    <w:rsid w:val="18EA2E6C"/>
    <w:rsid w:val="190527C4"/>
    <w:rsid w:val="19131F69"/>
    <w:rsid w:val="19C07D61"/>
    <w:rsid w:val="1A070F90"/>
    <w:rsid w:val="1A1C2996"/>
    <w:rsid w:val="1AD83CA9"/>
    <w:rsid w:val="1AF220BF"/>
    <w:rsid w:val="1B07682A"/>
    <w:rsid w:val="1B216501"/>
    <w:rsid w:val="1B230658"/>
    <w:rsid w:val="1B271851"/>
    <w:rsid w:val="1BE8440E"/>
    <w:rsid w:val="1BF978A3"/>
    <w:rsid w:val="1C7A1112"/>
    <w:rsid w:val="1CEC75AC"/>
    <w:rsid w:val="1CFA3641"/>
    <w:rsid w:val="1D083E1C"/>
    <w:rsid w:val="1D155CEE"/>
    <w:rsid w:val="1DE13B46"/>
    <w:rsid w:val="1DE303E5"/>
    <w:rsid w:val="1DE55F0B"/>
    <w:rsid w:val="1DEF5CBE"/>
    <w:rsid w:val="1E0A7720"/>
    <w:rsid w:val="1E1F1F35"/>
    <w:rsid w:val="1E7352C5"/>
    <w:rsid w:val="1EA23279"/>
    <w:rsid w:val="1F0C7DD5"/>
    <w:rsid w:val="1F5C3A06"/>
    <w:rsid w:val="1F6C7CD0"/>
    <w:rsid w:val="20507353"/>
    <w:rsid w:val="20C75D9C"/>
    <w:rsid w:val="20F57F95"/>
    <w:rsid w:val="21001F34"/>
    <w:rsid w:val="216E39D3"/>
    <w:rsid w:val="21812F54"/>
    <w:rsid w:val="22547628"/>
    <w:rsid w:val="22B14EDE"/>
    <w:rsid w:val="230E1876"/>
    <w:rsid w:val="23136BA8"/>
    <w:rsid w:val="23201DC1"/>
    <w:rsid w:val="23FF584D"/>
    <w:rsid w:val="240371BF"/>
    <w:rsid w:val="240A1236"/>
    <w:rsid w:val="256E67E6"/>
    <w:rsid w:val="25911713"/>
    <w:rsid w:val="25AE3087"/>
    <w:rsid w:val="25C741E6"/>
    <w:rsid w:val="267E6EFD"/>
    <w:rsid w:val="27842671"/>
    <w:rsid w:val="27971291"/>
    <w:rsid w:val="27CB2786"/>
    <w:rsid w:val="27F21ACC"/>
    <w:rsid w:val="27FB1565"/>
    <w:rsid w:val="286A4887"/>
    <w:rsid w:val="28B529D3"/>
    <w:rsid w:val="28CD495B"/>
    <w:rsid w:val="293661E3"/>
    <w:rsid w:val="29B14490"/>
    <w:rsid w:val="29FD04D3"/>
    <w:rsid w:val="2A1619F8"/>
    <w:rsid w:val="2A793611"/>
    <w:rsid w:val="2ABE7A3E"/>
    <w:rsid w:val="2AD413FE"/>
    <w:rsid w:val="2AE1376C"/>
    <w:rsid w:val="2AE8703B"/>
    <w:rsid w:val="2AF31337"/>
    <w:rsid w:val="2B326508"/>
    <w:rsid w:val="2B8C3E5A"/>
    <w:rsid w:val="2BC91C74"/>
    <w:rsid w:val="2BEE4F32"/>
    <w:rsid w:val="2C624BCB"/>
    <w:rsid w:val="2C714E0E"/>
    <w:rsid w:val="2D083BC1"/>
    <w:rsid w:val="2DCA6ECC"/>
    <w:rsid w:val="2DDE0A7D"/>
    <w:rsid w:val="2DFD4BAB"/>
    <w:rsid w:val="2E33681F"/>
    <w:rsid w:val="2EC85B96"/>
    <w:rsid w:val="2EFA178C"/>
    <w:rsid w:val="2FB46C73"/>
    <w:rsid w:val="2FE36023"/>
    <w:rsid w:val="2FEE7CF0"/>
    <w:rsid w:val="2FF95846"/>
    <w:rsid w:val="30142680"/>
    <w:rsid w:val="30B46D73"/>
    <w:rsid w:val="30BF439A"/>
    <w:rsid w:val="30E8696A"/>
    <w:rsid w:val="31121BFA"/>
    <w:rsid w:val="316A7D7E"/>
    <w:rsid w:val="317E6DE0"/>
    <w:rsid w:val="319F7F4E"/>
    <w:rsid w:val="31CF4AB1"/>
    <w:rsid w:val="327E0568"/>
    <w:rsid w:val="32FE3BF1"/>
    <w:rsid w:val="3327408D"/>
    <w:rsid w:val="333E2383"/>
    <w:rsid w:val="338D39DC"/>
    <w:rsid w:val="33DE5B77"/>
    <w:rsid w:val="3454129D"/>
    <w:rsid w:val="34BF7626"/>
    <w:rsid w:val="34D126EC"/>
    <w:rsid w:val="352E2138"/>
    <w:rsid w:val="357061C7"/>
    <w:rsid w:val="35D07686"/>
    <w:rsid w:val="36414C4A"/>
    <w:rsid w:val="36892A2D"/>
    <w:rsid w:val="36A952BD"/>
    <w:rsid w:val="36B3674F"/>
    <w:rsid w:val="36C546D4"/>
    <w:rsid w:val="36C8200D"/>
    <w:rsid w:val="370D1D9C"/>
    <w:rsid w:val="37523789"/>
    <w:rsid w:val="375E2879"/>
    <w:rsid w:val="37645C9B"/>
    <w:rsid w:val="377063EE"/>
    <w:rsid w:val="379548CF"/>
    <w:rsid w:val="37A4253C"/>
    <w:rsid w:val="37FC2378"/>
    <w:rsid w:val="3892494B"/>
    <w:rsid w:val="38AE1E66"/>
    <w:rsid w:val="39394E34"/>
    <w:rsid w:val="399E647D"/>
    <w:rsid w:val="39AE70AB"/>
    <w:rsid w:val="39F65AB0"/>
    <w:rsid w:val="3A1133C3"/>
    <w:rsid w:val="3A39340F"/>
    <w:rsid w:val="3AB40D71"/>
    <w:rsid w:val="3AD9074E"/>
    <w:rsid w:val="3ADB31F3"/>
    <w:rsid w:val="3AE16E59"/>
    <w:rsid w:val="3AE945FA"/>
    <w:rsid w:val="3B181276"/>
    <w:rsid w:val="3B4F3267"/>
    <w:rsid w:val="3BF05D4F"/>
    <w:rsid w:val="3C074E47"/>
    <w:rsid w:val="3C0C0783"/>
    <w:rsid w:val="3C5436C0"/>
    <w:rsid w:val="3DCB0822"/>
    <w:rsid w:val="3DFF1F9D"/>
    <w:rsid w:val="3E1F3EA3"/>
    <w:rsid w:val="3E311E17"/>
    <w:rsid w:val="3EB56DDC"/>
    <w:rsid w:val="3EC207BE"/>
    <w:rsid w:val="3F344CBD"/>
    <w:rsid w:val="3F6836EF"/>
    <w:rsid w:val="3F9D5B27"/>
    <w:rsid w:val="3F9F3A96"/>
    <w:rsid w:val="405368AD"/>
    <w:rsid w:val="406030D8"/>
    <w:rsid w:val="407F3B46"/>
    <w:rsid w:val="41B77860"/>
    <w:rsid w:val="42920EC7"/>
    <w:rsid w:val="43455594"/>
    <w:rsid w:val="445578F7"/>
    <w:rsid w:val="44B6565C"/>
    <w:rsid w:val="44E55E94"/>
    <w:rsid w:val="45F90F00"/>
    <w:rsid w:val="46130FB8"/>
    <w:rsid w:val="465E5CDF"/>
    <w:rsid w:val="46DC43A9"/>
    <w:rsid w:val="479F1711"/>
    <w:rsid w:val="481331A1"/>
    <w:rsid w:val="481B403D"/>
    <w:rsid w:val="482A083B"/>
    <w:rsid w:val="490C1CEF"/>
    <w:rsid w:val="49131136"/>
    <w:rsid w:val="493C27E9"/>
    <w:rsid w:val="496F39ED"/>
    <w:rsid w:val="49FF41D3"/>
    <w:rsid w:val="4A8A3813"/>
    <w:rsid w:val="4AEF3676"/>
    <w:rsid w:val="4B3D0885"/>
    <w:rsid w:val="4B5300A9"/>
    <w:rsid w:val="4B85527F"/>
    <w:rsid w:val="4B95246F"/>
    <w:rsid w:val="4BE068DB"/>
    <w:rsid w:val="4BF6002B"/>
    <w:rsid w:val="4C2537F3"/>
    <w:rsid w:val="4CAB3C98"/>
    <w:rsid w:val="4D147911"/>
    <w:rsid w:val="4D354AD5"/>
    <w:rsid w:val="4D383E18"/>
    <w:rsid w:val="4D754306"/>
    <w:rsid w:val="4D791415"/>
    <w:rsid w:val="4D8B3B2A"/>
    <w:rsid w:val="4D914D6E"/>
    <w:rsid w:val="4DCB7FE7"/>
    <w:rsid w:val="4E1E04FA"/>
    <w:rsid w:val="4E8A0DBC"/>
    <w:rsid w:val="4ECE2238"/>
    <w:rsid w:val="4F2935FA"/>
    <w:rsid w:val="4F2C6C47"/>
    <w:rsid w:val="4FCC3F86"/>
    <w:rsid w:val="4FDF5532"/>
    <w:rsid w:val="51410B71"/>
    <w:rsid w:val="519A3325"/>
    <w:rsid w:val="519A3FDB"/>
    <w:rsid w:val="51DB4B86"/>
    <w:rsid w:val="52A631B4"/>
    <w:rsid w:val="5310038D"/>
    <w:rsid w:val="53207D15"/>
    <w:rsid w:val="53834017"/>
    <w:rsid w:val="548F29DD"/>
    <w:rsid w:val="55202DAA"/>
    <w:rsid w:val="55333C3E"/>
    <w:rsid w:val="555C599A"/>
    <w:rsid w:val="555E33DF"/>
    <w:rsid w:val="556810DC"/>
    <w:rsid w:val="557C6707"/>
    <w:rsid w:val="561E0EFD"/>
    <w:rsid w:val="56812E3F"/>
    <w:rsid w:val="56852D09"/>
    <w:rsid w:val="572F00F3"/>
    <w:rsid w:val="57904B6D"/>
    <w:rsid w:val="583312E4"/>
    <w:rsid w:val="5862192B"/>
    <w:rsid w:val="58DE3DB1"/>
    <w:rsid w:val="5A044A98"/>
    <w:rsid w:val="5A2F1813"/>
    <w:rsid w:val="5ACA18CC"/>
    <w:rsid w:val="5AD51214"/>
    <w:rsid w:val="5B5D52DE"/>
    <w:rsid w:val="5B94004E"/>
    <w:rsid w:val="5BA42E2A"/>
    <w:rsid w:val="5C507542"/>
    <w:rsid w:val="5CC62FD7"/>
    <w:rsid w:val="5D1F603D"/>
    <w:rsid w:val="5D344AC1"/>
    <w:rsid w:val="5D4B5084"/>
    <w:rsid w:val="5ED67A28"/>
    <w:rsid w:val="5F1A6ABC"/>
    <w:rsid w:val="5F5E12A0"/>
    <w:rsid w:val="5FC555D0"/>
    <w:rsid w:val="5FDA624B"/>
    <w:rsid w:val="603C7160"/>
    <w:rsid w:val="60581CAB"/>
    <w:rsid w:val="608A5EC3"/>
    <w:rsid w:val="6235479C"/>
    <w:rsid w:val="62441C88"/>
    <w:rsid w:val="62906686"/>
    <w:rsid w:val="62DC2E62"/>
    <w:rsid w:val="630B1871"/>
    <w:rsid w:val="6320036E"/>
    <w:rsid w:val="63234CF0"/>
    <w:rsid w:val="63974B7F"/>
    <w:rsid w:val="63BE4BDA"/>
    <w:rsid w:val="63CC79FC"/>
    <w:rsid w:val="64C30B76"/>
    <w:rsid w:val="64CA39A1"/>
    <w:rsid w:val="64FF67E8"/>
    <w:rsid w:val="652B6C79"/>
    <w:rsid w:val="65E816C2"/>
    <w:rsid w:val="65EE47FE"/>
    <w:rsid w:val="666351EC"/>
    <w:rsid w:val="66AB0CFD"/>
    <w:rsid w:val="67472418"/>
    <w:rsid w:val="67504A61"/>
    <w:rsid w:val="68E656F6"/>
    <w:rsid w:val="690205FA"/>
    <w:rsid w:val="69201F35"/>
    <w:rsid w:val="69251E17"/>
    <w:rsid w:val="697F233D"/>
    <w:rsid w:val="6A850781"/>
    <w:rsid w:val="6A924C64"/>
    <w:rsid w:val="6B2830C1"/>
    <w:rsid w:val="6B2A452A"/>
    <w:rsid w:val="6BA93FD3"/>
    <w:rsid w:val="6BB9765C"/>
    <w:rsid w:val="6BBB5DF6"/>
    <w:rsid w:val="6C4A05C8"/>
    <w:rsid w:val="6C691082"/>
    <w:rsid w:val="6C994365"/>
    <w:rsid w:val="6CA40852"/>
    <w:rsid w:val="6CB664B5"/>
    <w:rsid w:val="6CF73551"/>
    <w:rsid w:val="6D0820D5"/>
    <w:rsid w:val="6D3330C7"/>
    <w:rsid w:val="6D88378A"/>
    <w:rsid w:val="6DA661AA"/>
    <w:rsid w:val="6E7D0E15"/>
    <w:rsid w:val="6F80024F"/>
    <w:rsid w:val="6F833714"/>
    <w:rsid w:val="6FCA1BDC"/>
    <w:rsid w:val="70687B40"/>
    <w:rsid w:val="7071519B"/>
    <w:rsid w:val="70844B58"/>
    <w:rsid w:val="714C44A7"/>
    <w:rsid w:val="71997D14"/>
    <w:rsid w:val="72326261"/>
    <w:rsid w:val="72734D90"/>
    <w:rsid w:val="72D92DF3"/>
    <w:rsid w:val="73572DF1"/>
    <w:rsid w:val="73793D13"/>
    <w:rsid w:val="73C848E1"/>
    <w:rsid w:val="74275AAB"/>
    <w:rsid w:val="7447614D"/>
    <w:rsid w:val="74D07EF1"/>
    <w:rsid w:val="74F05E58"/>
    <w:rsid w:val="75AA6994"/>
    <w:rsid w:val="76073707"/>
    <w:rsid w:val="7609022B"/>
    <w:rsid w:val="762713D4"/>
    <w:rsid w:val="767B46B5"/>
    <w:rsid w:val="76DB582E"/>
    <w:rsid w:val="77E67A2B"/>
    <w:rsid w:val="78000AED"/>
    <w:rsid w:val="78216CB5"/>
    <w:rsid w:val="78341C48"/>
    <w:rsid w:val="792C6E5F"/>
    <w:rsid w:val="794B7302"/>
    <w:rsid w:val="79881F57"/>
    <w:rsid w:val="79921F40"/>
    <w:rsid w:val="79D65C49"/>
    <w:rsid w:val="79E7B28D"/>
    <w:rsid w:val="7A1A1C0E"/>
    <w:rsid w:val="7ABB0CFB"/>
    <w:rsid w:val="7B3B61F4"/>
    <w:rsid w:val="7B421039"/>
    <w:rsid w:val="7B9F23CB"/>
    <w:rsid w:val="7BAE4231"/>
    <w:rsid w:val="7C5807CC"/>
    <w:rsid w:val="7CEF4A90"/>
    <w:rsid w:val="7D08140F"/>
    <w:rsid w:val="7D2E7EAA"/>
    <w:rsid w:val="7D3D1E9B"/>
    <w:rsid w:val="7D733B0F"/>
    <w:rsid w:val="7D821FA4"/>
    <w:rsid w:val="7D9B3F7A"/>
    <w:rsid w:val="7DC9403A"/>
    <w:rsid w:val="7DC97FEE"/>
    <w:rsid w:val="7DEB2DBF"/>
    <w:rsid w:val="7E3E236F"/>
    <w:rsid w:val="7E6D4A02"/>
    <w:rsid w:val="7EC10CE9"/>
    <w:rsid w:val="7ECA53B7"/>
    <w:rsid w:val="7EDA196C"/>
    <w:rsid w:val="7F343772"/>
    <w:rsid w:val="7F466FDA"/>
    <w:rsid w:val="7F7122D0"/>
    <w:rsid w:val="7F971C6A"/>
    <w:rsid w:val="7F9F20EE"/>
    <w:rsid w:val="7FC25586"/>
    <w:rsid w:val="7FEF0525"/>
    <w:rsid w:val="9E3A10E2"/>
    <w:rsid w:val="F2E1F9D4"/>
    <w:rsid w:val="F78808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41"/>
    <w:unhideWhenUsed/>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图表目录1"/>
    <w:basedOn w:val="3"/>
    <w:next w:val="1"/>
    <w:qFormat/>
    <w:uiPriority w:val="0"/>
    <w:pPr>
      <w:ind w:left="200" w:leftChars="200" w:hanging="200" w:hangingChars="200"/>
    </w:pPr>
    <w:rPr>
      <w:rFonts w:eastAsia="仿宋_GB2312"/>
      <w:sz w:val="32"/>
      <w:szCs w:val="24"/>
    </w:rPr>
  </w:style>
  <w:style w:type="paragraph" w:customStyle="1" w:styleId="3">
    <w:name w:val="Normal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styleId="7">
    <w:name w:val="Normal Indent"/>
    <w:basedOn w:val="1"/>
    <w:qFormat/>
    <w:uiPriority w:val="0"/>
    <w:pPr>
      <w:ind w:firstLine="420" w:firstLineChars="200"/>
    </w:pPr>
  </w:style>
  <w:style w:type="paragraph" w:styleId="8">
    <w:name w:val="Salutation"/>
    <w:basedOn w:val="1"/>
    <w:next w:val="1"/>
    <w:qFormat/>
    <w:uiPriority w:val="0"/>
  </w:style>
  <w:style w:type="paragraph" w:styleId="9">
    <w:name w:val="Body Text"/>
    <w:basedOn w:val="1"/>
    <w:next w:val="1"/>
    <w:link w:val="34"/>
    <w:qFormat/>
    <w:uiPriority w:val="99"/>
    <w:pPr>
      <w:spacing w:beforeLines="30"/>
    </w:pPr>
    <w:rPr>
      <w:rFonts w:ascii="仿宋_GB2312" w:eastAsia="仿宋_GB2312"/>
      <w:kern w:val="0"/>
      <w:sz w:val="30"/>
    </w:rPr>
  </w:style>
  <w:style w:type="paragraph" w:styleId="10">
    <w:name w:val="Body Text Indent"/>
    <w:basedOn w:val="1"/>
    <w:qFormat/>
    <w:uiPriority w:val="99"/>
    <w:pPr>
      <w:ind w:left="420" w:leftChars="200"/>
    </w:pPr>
  </w:style>
  <w:style w:type="paragraph" w:styleId="11">
    <w:name w:val="toc 3"/>
    <w:basedOn w:val="1"/>
    <w:next w:val="1"/>
    <w:unhideWhenUsed/>
    <w:qFormat/>
    <w:uiPriority w:val="39"/>
    <w:pPr>
      <w:tabs>
        <w:tab w:val="right" w:leader="dot" w:pos="8296"/>
      </w:tabs>
      <w:ind w:left="840" w:leftChars="400"/>
    </w:pPr>
  </w:style>
  <w:style w:type="paragraph" w:styleId="12">
    <w:name w:val="Plain Text"/>
    <w:basedOn w:val="1"/>
    <w:qFormat/>
    <w:uiPriority w:val="99"/>
    <w:rPr>
      <w:rFonts w:ascii="宋体" w:hAnsi="Courier New" w:eastAsia="宋体"/>
      <w:szCs w:val="21"/>
    </w:rPr>
  </w:style>
  <w:style w:type="paragraph" w:styleId="13">
    <w:name w:val="Balloon Text"/>
    <w:basedOn w:val="1"/>
    <w:link w:val="40"/>
    <w:semiHidden/>
    <w:unhideWhenUsed/>
    <w:qFormat/>
    <w:uiPriority w:val="99"/>
    <w:rPr>
      <w:sz w:val="18"/>
      <w:szCs w:val="18"/>
    </w:rPr>
  </w:style>
  <w:style w:type="paragraph" w:styleId="14">
    <w:name w:val="footer"/>
    <w:basedOn w:val="1"/>
    <w:link w:val="32"/>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table of figures"/>
    <w:basedOn w:val="1"/>
    <w:next w:val="1"/>
    <w:unhideWhenUsed/>
    <w:qFormat/>
    <w:uiPriority w:val="99"/>
    <w:pPr>
      <w:ind w:left="200" w:leftChars="200" w:hanging="200" w:hangingChars="200"/>
    </w:pPr>
    <w:rPr>
      <w:rFonts w:ascii="Times New Roman" w:eastAsia="仿宋_GB2312"/>
      <w:sz w:val="32"/>
      <w:szCs w:val="24"/>
    </w:rPr>
  </w:style>
  <w:style w:type="paragraph" w:styleId="18">
    <w:name w:val="toc 2"/>
    <w:basedOn w:val="1"/>
    <w:next w:val="1"/>
    <w:unhideWhenUsed/>
    <w:qFormat/>
    <w:uiPriority w:val="39"/>
    <w:pPr>
      <w:tabs>
        <w:tab w:val="right" w:leader="dot" w:pos="8296"/>
      </w:tabs>
      <w:ind w:left="420" w:leftChars="200"/>
    </w:p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Title"/>
    <w:basedOn w:val="1"/>
    <w:next w:val="1"/>
    <w:qFormat/>
    <w:uiPriority w:val="0"/>
    <w:pPr>
      <w:spacing w:before="240" w:after="60"/>
      <w:jc w:val="center"/>
      <w:outlineLvl w:val="0"/>
    </w:pPr>
    <w:rPr>
      <w:rFonts w:ascii="Arial" w:hAnsi="Arial" w:cs="Arial"/>
      <w:b/>
      <w:bCs/>
      <w:szCs w:val="32"/>
    </w:rPr>
  </w:style>
  <w:style w:type="paragraph" w:styleId="21">
    <w:name w:val="Body Text First Indent"/>
    <w:basedOn w:val="9"/>
    <w:unhideWhenUsed/>
    <w:qFormat/>
    <w:uiPriority w:val="99"/>
    <w:pPr>
      <w:ind w:firstLine="420" w:firstLineChars="100"/>
    </w:pPr>
  </w:style>
  <w:style w:type="paragraph" w:styleId="22">
    <w:name w:val="Body Text First Indent 2"/>
    <w:basedOn w:val="10"/>
    <w:next w:val="1"/>
    <w:qFormat/>
    <w:uiPriority w:val="99"/>
    <w:pPr>
      <w:ind w:firstLine="420" w:firstLineChars="200"/>
    </w:pPr>
  </w:style>
  <w:style w:type="character" w:styleId="25">
    <w:name w:val="Strong"/>
    <w:basedOn w:val="24"/>
    <w:qFormat/>
    <w:uiPriority w:val="99"/>
    <w:rPr>
      <w:b/>
    </w:rPr>
  </w:style>
  <w:style w:type="character" w:styleId="26">
    <w:name w:val="Emphasis"/>
    <w:basedOn w:val="24"/>
    <w:qFormat/>
    <w:uiPriority w:val="0"/>
    <w:rPr>
      <w:i/>
    </w:rPr>
  </w:style>
  <w:style w:type="character" w:styleId="27">
    <w:name w:val="Hyperlink"/>
    <w:basedOn w:val="24"/>
    <w:unhideWhenUsed/>
    <w:qFormat/>
    <w:uiPriority w:val="99"/>
    <w:rPr>
      <w:color w:val="0000FF" w:themeColor="hyperlink"/>
      <w:u w:val="single"/>
      <w14:textFill>
        <w14:solidFill>
          <w14:schemeClr w14:val="hlink"/>
        </w14:solidFill>
      </w14:textFill>
    </w:rPr>
  </w:style>
  <w:style w:type="paragraph" w:customStyle="1" w:styleId="28">
    <w:name w:val="table of figures1"/>
    <w:basedOn w:val="1"/>
    <w:next w:val="1"/>
    <w:qFormat/>
    <w:uiPriority w:val="0"/>
    <w:pPr>
      <w:ind w:left="200" w:leftChars="200" w:hanging="200" w:hangingChars="200"/>
    </w:pPr>
    <w:rPr>
      <w:rFonts w:hint="default" w:ascii="Times New Roman" w:eastAsia="仿宋_GB2312"/>
      <w:sz w:val="32"/>
      <w:szCs w:val="24"/>
    </w:rPr>
  </w:style>
  <w:style w:type="character" w:customStyle="1" w:styleId="29">
    <w:name w:val="Header Char"/>
    <w:basedOn w:val="24"/>
    <w:semiHidden/>
    <w:qFormat/>
    <w:uiPriority w:val="99"/>
    <w:rPr>
      <w:rFonts w:ascii="Times New Roman" w:hAnsi="Times New Roman"/>
      <w:sz w:val="18"/>
      <w:szCs w:val="18"/>
    </w:rPr>
  </w:style>
  <w:style w:type="character" w:customStyle="1" w:styleId="30">
    <w:name w:val="页眉 Char"/>
    <w:link w:val="15"/>
    <w:semiHidden/>
    <w:qFormat/>
    <w:locked/>
    <w:uiPriority w:val="99"/>
    <w:rPr>
      <w:sz w:val="18"/>
    </w:rPr>
  </w:style>
  <w:style w:type="character" w:customStyle="1" w:styleId="31">
    <w:name w:val="Footer Char"/>
    <w:basedOn w:val="24"/>
    <w:semiHidden/>
    <w:qFormat/>
    <w:uiPriority w:val="99"/>
    <w:rPr>
      <w:rFonts w:ascii="Times New Roman" w:hAnsi="Times New Roman"/>
      <w:sz w:val="18"/>
      <w:szCs w:val="18"/>
    </w:rPr>
  </w:style>
  <w:style w:type="character" w:customStyle="1" w:styleId="32">
    <w:name w:val="页脚 Char"/>
    <w:link w:val="14"/>
    <w:qFormat/>
    <w:locked/>
    <w:uiPriority w:val="99"/>
    <w:rPr>
      <w:sz w:val="18"/>
    </w:rPr>
  </w:style>
  <w:style w:type="character" w:customStyle="1" w:styleId="33">
    <w:name w:val="Body Text Char"/>
    <w:basedOn w:val="24"/>
    <w:semiHidden/>
    <w:qFormat/>
    <w:uiPriority w:val="99"/>
    <w:rPr>
      <w:rFonts w:ascii="Times New Roman" w:hAnsi="Times New Roman"/>
      <w:szCs w:val="24"/>
    </w:rPr>
  </w:style>
  <w:style w:type="character" w:customStyle="1" w:styleId="34">
    <w:name w:val="正文文本 Char"/>
    <w:link w:val="9"/>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6">
    <w:name w:val="List Paragraph"/>
    <w:basedOn w:val="1"/>
    <w:qFormat/>
    <w:uiPriority w:val="34"/>
    <w:pPr>
      <w:ind w:firstLine="420" w:firstLineChars="200"/>
    </w:pPr>
  </w:style>
  <w:style w:type="character" w:customStyle="1" w:styleId="37">
    <w:name w:val="标题 1 Char"/>
    <w:basedOn w:val="24"/>
    <w:link w:val="4"/>
    <w:qFormat/>
    <w:uiPriority w:val="9"/>
    <w:rPr>
      <w:rFonts w:ascii="Times New Roman" w:hAnsi="Times New Roman"/>
      <w:b/>
      <w:bCs/>
      <w:kern w:val="44"/>
      <w:sz w:val="44"/>
      <w:szCs w:val="44"/>
    </w:rPr>
  </w:style>
  <w:style w:type="character" w:customStyle="1" w:styleId="38">
    <w:name w:val="标题 2 Char"/>
    <w:basedOn w:val="24"/>
    <w:link w:val="5"/>
    <w:qFormat/>
    <w:uiPriority w:val="9"/>
    <w:rPr>
      <w:rFonts w:asciiTheme="majorHAnsi" w:hAnsiTheme="majorHAnsi" w:eastAsiaTheme="majorEastAsia" w:cstheme="majorBidi"/>
      <w:b/>
      <w:bCs/>
      <w:kern w:val="2"/>
      <w:sz w:val="32"/>
      <w:szCs w:val="32"/>
    </w:rPr>
  </w:style>
  <w:style w:type="paragraph" w:customStyle="1" w:styleId="3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0">
    <w:name w:val="批注框文本 Char"/>
    <w:basedOn w:val="24"/>
    <w:link w:val="13"/>
    <w:semiHidden/>
    <w:qFormat/>
    <w:uiPriority w:val="99"/>
    <w:rPr>
      <w:rFonts w:ascii="Times New Roman" w:hAnsi="Times New Roman"/>
      <w:kern w:val="2"/>
      <w:sz w:val="18"/>
      <w:szCs w:val="18"/>
    </w:rPr>
  </w:style>
  <w:style w:type="character" w:customStyle="1" w:styleId="41">
    <w:name w:val="标题 3 Char"/>
    <w:basedOn w:val="24"/>
    <w:link w:val="6"/>
    <w:qFormat/>
    <w:uiPriority w:val="9"/>
    <w:rPr>
      <w:rFonts w:ascii="Times New Roman" w:hAnsi="Times New Roman"/>
      <w:b/>
      <w:bCs/>
      <w:kern w:val="2"/>
      <w:sz w:val="32"/>
      <w:szCs w:val="32"/>
    </w:rPr>
  </w:style>
  <w:style w:type="paragraph" w:customStyle="1" w:styleId="4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 w:type="paragraph" w:customStyle="1" w:styleId="44">
    <w:name w:val="WPSOffice手动目录 2"/>
    <w:qFormat/>
    <w:uiPriority w:val="0"/>
    <w:pPr>
      <w:ind w:leftChars="200"/>
    </w:pPr>
    <w:rPr>
      <w:rFonts w:ascii="Times New Roman" w:hAnsi="Times New Roman" w:eastAsia="宋体" w:cs="Times New Roman"/>
      <w:sz w:val="20"/>
      <w:szCs w:val="20"/>
    </w:rPr>
  </w:style>
  <w:style w:type="paragraph" w:customStyle="1" w:styleId="45">
    <w:name w:val="〖C01〗正文"/>
    <w:basedOn w:val="1"/>
    <w:qFormat/>
    <w:uiPriority w:val="0"/>
    <w:pPr>
      <w:topLinePunct/>
      <w:spacing w:line="600" w:lineRule="exact"/>
      <w:ind w:firstLine="640" w:firstLineChars="200"/>
    </w:pPr>
    <w:rPr>
      <w:rFonts w:ascii="仿宋_GB2312" w:hAnsi="Calibri" w:eastAsia="仿宋_GB2312"/>
      <w:sz w:val="32"/>
      <w:szCs w:val="32"/>
    </w:rPr>
  </w:style>
  <w:style w:type="paragraph" w:customStyle="1" w:styleId="46">
    <w:name w:val="〖B03〗三级标题"/>
    <w:basedOn w:val="1"/>
    <w:qFormat/>
    <w:uiPriority w:val="0"/>
    <w:pPr>
      <w:numPr>
        <w:ilvl w:val="0"/>
        <w:numId w:val="1"/>
      </w:numPr>
      <w:topLinePunct/>
      <w:spacing w:line="600" w:lineRule="exact"/>
      <w:outlineLvl w:val="2"/>
    </w:pPr>
    <w:rPr>
      <w:rFonts w:ascii="楷体_GB2312" w:hAnsi="Calibri" w:eastAsia="楷体_GB2312"/>
      <w:sz w:val="32"/>
      <w:szCs w:val="32"/>
    </w:rPr>
  </w:style>
  <w:style w:type="character" w:customStyle="1" w:styleId="47">
    <w:name w:val="NormalCharacter"/>
    <w:semiHidden/>
    <w:qFormat/>
    <w:uiPriority w:val="99"/>
  </w:style>
  <w:style w:type="paragraph" w:styleId="4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9">
    <w:name w:val="font61"/>
    <w:qFormat/>
    <w:uiPriority w:val="0"/>
    <w:rPr>
      <w:rFonts w:hint="default" w:ascii="Times New Roman" w:hAnsi="Times New Roman" w:eastAsia="楷体_GB2312" w:cs="Times New Roman"/>
      <w:sz w:val="32"/>
      <w:szCs w:val="24"/>
    </w:rPr>
  </w:style>
  <w:style w:type="paragraph" w:customStyle="1" w:styleId="50">
    <w:name w:val="〖B02〗二级标题"/>
    <w:next w:val="1"/>
    <w:qFormat/>
    <w:uiPriority w:val="0"/>
    <w:pPr>
      <w:widowControl w:val="0"/>
      <w:numPr>
        <w:ilvl w:val="0"/>
        <w:numId w:val="2"/>
      </w:numPr>
      <w:spacing w:line="600" w:lineRule="exact"/>
      <w:outlineLvl w:val="1"/>
    </w:pPr>
    <w:rPr>
      <w:rFonts w:ascii="楷体_GB2312" w:hAnsi="Calibri" w:eastAsia="楷体_GB2312" w:cs="Times New Roman"/>
      <w:kern w:val="2"/>
      <w:sz w:val="32"/>
      <w:szCs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8146465321395"/>
          <c:y val="0.248939495423086"/>
          <c:w val="0.847975410931445"/>
          <c:h val="0.622996204509935"/>
        </c:manualLayout>
      </c:layout>
      <c:barChart>
        <c:barDir val="col"/>
        <c:grouping val="clustered"/>
        <c:varyColors val="0"/>
        <c:ser>
          <c:idx val="0"/>
          <c:order val="0"/>
          <c:tx>
            <c:strRef>
              <c:f>Sheet1!$B$1</c:f>
              <c:strCache>
                <c:ptCount val="1"/>
                <c:pt idx="0">
                  <c:v>2020</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Sheet1!$B$2:$B$3</c:f>
              <c:numCache>
                <c:formatCode>General</c:formatCode>
                <c:ptCount val="2"/>
                <c:pt idx="0">
                  <c:v>268.02</c:v>
                </c:pt>
                <c:pt idx="1">
                  <c:v>268.02</c:v>
                </c:pt>
              </c:numCache>
            </c:numRef>
          </c:val>
        </c:ser>
        <c:ser>
          <c:idx val="1"/>
          <c:order val="1"/>
          <c:tx>
            <c:strRef>
              <c:f>Sheet1!$C$1</c:f>
              <c:strCache>
                <c:ptCount val="1"/>
                <c:pt idx="0">
                  <c:v>2021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Sheet1!$C$2:$C$3</c:f>
              <c:numCache>
                <c:formatCode>General</c:formatCode>
                <c:ptCount val="2"/>
                <c:pt idx="0">
                  <c:v>246.23</c:v>
                </c:pt>
                <c:pt idx="1">
                  <c:v>246.23</c:v>
                </c:pt>
              </c:numCache>
            </c:numRef>
          </c:val>
        </c:ser>
        <c:dLbls>
          <c:showLegendKey val="0"/>
          <c:showVal val="1"/>
          <c:showCatName val="0"/>
          <c:showSerName val="0"/>
          <c:showPercent val="0"/>
          <c:showBubbleSize val="0"/>
        </c:dLbls>
        <c:gapWidth val="164"/>
        <c:overlap val="-22"/>
        <c:axId val="787059476"/>
        <c:axId val="26589520"/>
      </c:barChart>
      <c:catAx>
        <c:axId val="7870594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589520"/>
        <c:crosses val="autoZero"/>
        <c:auto val="1"/>
        <c:lblAlgn val="ctr"/>
        <c:lblOffset val="100"/>
        <c:noMultiLvlLbl val="0"/>
      </c:catAx>
      <c:valAx>
        <c:axId val="26589520"/>
        <c:scaling>
          <c:orientation val="minMax"/>
        </c:scaling>
        <c:delete val="0"/>
        <c:axPos val="l"/>
        <c:majorGridlines>
          <c:spPr>
            <a:ln>
              <a:solidFill>
                <a:schemeClr val="tx1">
                  <a:lumMod val="15000"/>
                  <a:lumOff val="85000"/>
                </a:schemeClr>
              </a:solidFill>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59476"/>
        <c:crosses val="autoZero"/>
        <c:crossBetween val="between"/>
      </c:valAx>
      <c:spPr>
        <a:noFill/>
        <a:ln>
          <a:noFill/>
        </a:ln>
        <a:effectLst/>
      </c:spPr>
    </c:plotArea>
    <c:legend>
      <c:legendPos val="r"/>
      <c:layout>
        <c:manualLayout>
          <c:xMode val="edge"/>
          <c:yMode val="edge"/>
          <c:x val="0.473375"/>
          <c:y val="0.8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dPt>
          <c:dPt>
            <c:idx val="7"/>
            <c:bubble3D val="0"/>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dPt>
          <c:dLbls>
            <c:dLbl>
              <c:idx val="1"/>
              <c:layout>
                <c:manualLayout>
                  <c:x val="-0.086125"/>
                  <c:y val="0.046011805660662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058375"/>
                  <c:y val="-0.011651323360184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324375"/>
                  <c:y val="0.054485814030974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4"/>
              <c:layout>
                <c:manualLayout>
                  <c:x val="-0.048125"/>
                  <c:y val="-0.052502876869965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5"/>
              <c:layout>
                <c:manualLayout>
                  <c:x val="-0.344625"/>
                  <c:y val="0.15693643523807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6"/>
              <c:layout>
                <c:manualLayout>
                  <c:x val="0.17725"/>
                  <c:y val="0.011651323360184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7"/>
              <c:layout>
                <c:manualLayout>
                  <c:x val="0.179875"/>
                  <c:y val="0.064298043728423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242.68</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dPt>
          <c:dLbls>
            <c:dLbl>
              <c:idx val="0"/>
              <c:layout>
                <c:manualLayout>
                  <c:x val="-0.419783024888322"/>
                  <c:y val="0.174298128342246"/>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00472239948947033"/>
                  <c:y val="-0.0626671122994652"/>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20293554562859"/>
                  <c:y val="-0.0033422459893048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4"/>
              <c:layout>
                <c:manualLayout>
                  <c:x val="0.117166560306318"/>
                  <c:y val="0"/>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187.95</c:v>
                </c:pt>
                <c:pt idx="1">
                  <c:v>57.62</c:v>
                </c:pt>
                <c:pt idx="2">
                  <c:v>0</c:v>
                </c:pt>
                <c:pt idx="3">
                  <c:v>0</c:v>
                </c:pt>
                <c:pt idx="4">
                  <c:v>0</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730306477345246"/>
          <c:y val="0.72040953654188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8146465321395"/>
          <c:y val="0.248939495423086"/>
          <c:w val="0.847975410931445"/>
          <c:h val="0.622996204509935"/>
        </c:manualLayout>
      </c:layout>
      <c:barChart>
        <c:barDir val="col"/>
        <c:grouping val="clustered"/>
        <c:varyColors val="0"/>
        <c:ser>
          <c:idx val="0"/>
          <c:order val="0"/>
          <c:tx>
            <c:strRef>
              <c:f>Sheet1!$B$1</c:f>
              <c:strCache>
                <c:ptCount val="1"/>
                <c:pt idx="0">
                  <c:v>2020</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0.00_ </c:formatCode>
                <c:ptCount val="2"/>
                <c:pt idx="0">
                  <c:v>268.02</c:v>
                </c:pt>
                <c:pt idx="1">
                  <c:v>268.02</c:v>
                </c:pt>
              </c:numCache>
            </c:numRef>
          </c:val>
        </c:ser>
        <c:ser>
          <c:idx val="1"/>
          <c:order val="1"/>
          <c:tx>
            <c:strRef>
              <c:f>Sheet1!$C$1</c:f>
              <c:strCache>
                <c:ptCount val="1"/>
                <c:pt idx="0">
                  <c:v>2021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0.00_ </c:formatCode>
                <c:ptCount val="2"/>
                <c:pt idx="0">
                  <c:v>246.23</c:v>
                </c:pt>
                <c:pt idx="1">
                  <c:v>246.23</c:v>
                </c:pt>
              </c:numCache>
            </c:numRef>
          </c:val>
        </c:ser>
        <c:dLbls>
          <c:showLegendKey val="0"/>
          <c:showVal val="1"/>
          <c:showCatName val="0"/>
          <c:showSerName val="0"/>
          <c:showPercent val="0"/>
          <c:showBubbleSize val="0"/>
        </c:dLbls>
        <c:gapWidth val="164"/>
        <c:overlap val="-22"/>
        <c:axId val="787059476"/>
        <c:axId val="26589520"/>
      </c:barChart>
      <c:catAx>
        <c:axId val="7870594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589520"/>
        <c:crosses val="autoZero"/>
        <c:auto val="1"/>
        <c:lblAlgn val="ctr"/>
        <c:lblOffset val="100"/>
        <c:noMultiLvlLbl val="0"/>
      </c:catAx>
      <c:valAx>
        <c:axId val="26589520"/>
        <c:scaling>
          <c:orientation val="minMax"/>
        </c:scaling>
        <c:delete val="0"/>
        <c:axPos val="l"/>
        <c:majorGridlines>
          <c:spPr>
            <a:ln>
              <a:solidFill>
                <a:schemeClr val="tx1">
                  <a:lumMod val="15000"/>
                  <a:lumOff val="85000"/>
                </a:schemeClr>
              </a:solidFill>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59476"/>
        <c:crosses val="autoZero"/>
        <c:crossBetween val="between"/>
      </c:valAx>
      <c:spPr>
        <a:noFill/>
        <a:ln>
          <a:noFill/>
        </a:ln>
        <a:effectLst/>
      </c:spPr>
    </c:plotArea>
    <c:legend>
      <c:legendPos val="r"/>
      <c:layout>
        <c:manualLayout>
          <c:xMode val="edge"/>
          <c:yMode val="edge"/>
          <c:x val="0.473375"/>
          <c:y val="0.8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8146465321395"/>
          <c:y val="0.248939495423086"/>
          <c:w val="0.847975410931445"/>
          <c:h val="0.622996204509935"/>
        </c:manualLayout>
      </c:layout>
      <c:barChart>
        <c:barDir val="col"/>
        <c:grouping val="clustered"/>
        <c:varyColors val="0"/>
        <c:ser>
          <c:idx val="0"/>
          <c:order val="0"/>
          <c:tx>
            <c:strRef>
              <c:f>Sheet1!$B$1</c:f>
              <c:strCache>
                <c:ptCount val="1"/>
                <c:pt idx="0">
                  <c:v>2020</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Sheet1!$B$2</c:f>
              <c:numCache>
                <c:formatCode>#,##0.00</c:formatCode>
                <c:ptCount val="1"/>
                <c:pt idx="0">
                  <c:v>248.26</c:v>
                </c:pt>
              </c:numCache>
            </c:numRef>
          </c:val>
        </c:ser>
        <c:ser>
          <c:idx val="1"/>
          <c:order val="1"/>
          <c:tx>
            <c:strRef>
              <c:f>Sheet1!$C$1</c:f>
              <c:strCache>
                <c:ptCount val="1"/>
                <c:pt idx="0">
                  <c:v>2021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Sheet1!$C$2</c:f>
              <c:numCache>
                <c:formatCode>0.00_ </c:formatCode>
                <c:ptCount val="1"/>
                <c:pt idx="0">
                  <c:v>245.57</c:v>
                </c:pt>
              </c:numCache>
            </c:numRef>
          </c:val>
        </c:ser>
        <c:dLbls>
          <c:showLegendKey val="0"/>
          <c:showVal val="1"/>
          <c:showCatName val="0"/>
          <c:showSerName val="0"/>
          <c:showPercent val="0"/>
          <c:showBubbleSize val="0"/>
        </c:dLbls>
        <c:gapWidth val="164"/>
        <c:overlap val="-22"/>
        <c:axId val="787059476"/>
        <c:axId val="26589520"/>
      </c:barChart>
      <c:catAx>
        <c:axId val="7870594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589520"/>
        <c:crosses val="autoZero"/>
        <c:auto val="1"/>
        <c:lblAlgn val="ctr"/>
        <c:lblOffset val="100"/>
        <c:noMultiLvlLbl val="0"/>
      </c:catAx>
      <c:valAx>
        <c:axId val="26589520"/>
        <c:scaling>
          <c:orientation val="minMax"/>
        </c:scaling>
        <c:delete val="0"/>
        <c:axPos val="l"/>
        <c:majorGridlines>
          <c:spPr>
            <a:ln>
              <a:solidFill>
                <a:schemeClr val="tx1">
                  <a:lumMod val="15000"/>
                  <a:lumOff val="85000"/>
                </a:schemeClr>
              </a:solidFill>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59476"/>
        <c:crosses val="autoZero"/>
        <c:crossBetween val="between"/>
      </c:valAx>
      <c:spPr>
        <a:noFill/>
        <a:ln>
          <a:noFill/>
        </a:ln>
        <a:effectLst/>
      </c:spPr>
    </c:plotArea>
    <c:legend>
      <c:legendPos val="r"/>
      <c:layout>
        <c:manualLayout>
          <c:xMode val="edge"/>
          <c:yMode val="edge"/>
          <c:x val="0.180875"/>
          <c:y val="0.8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dPt>
          <c:dLbls>
            <c:dLbl>
              <c:idx val="0"/>
              <c:layout>
                <c:manualLayout>
                  <c:x val="0.0671748978013485"/>
                  <c:y val="0.10009080204163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1"/>
              <c:layout>
                <c:manualLayout>
                  <c:x val="-0.13773701800906"/>
                  <c:y val="0.128285273591007"/>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11942034029389"/>
                  <c:y val="0.051323632923716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069053143299083"/>
                  <c:y val="0.003985969387755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Sheet1!$B$2:$B$6</c:f>
              <c:numCache>
                <c:formatCode>#,##0.00</c:formatCode>
                <c:ptCount val="5"/>
                <c:pt idx="0">
                  <c:v>157.78</c:v>
                </c:pt>
                <c:pt idx="1" c:formatCode="General">
                  <c:v>42.33</c:v>
                </c:pt>
                <c:pt idx="2" c:formatCode="General">
                  <c:v>4.3</c:v>
                </c:pt>
                <c:pt idx="3" c:formatCode="General">
                  <c:v>28.92</c:v>
                </c:pt>
                <c:pt idx="4" c:formatCode="General">
                  <c:v>12.23</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741"/>
          <c:y val="0.04990041910667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Lbls>
            <c:dLbl>
              <c:idx val="0"/>
              <c:layout>
                <c:manualLayout>
                  <c:x val="0.0671748978013485"/>
                  <c:y val="0.10009080204163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1"/>
              <c:layout>
                <c:manualLayout>
                  <c:x val="-0.13773701800906"/>
                  <c:y val="0.128285273591007"/>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11942034029389"/>
                  <c:y val="0.051323632923716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c:v>
                </c:pt>
                <c:pt idx="2">
                  <c:v>0.3</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665009391227489"/>
          <c:y val="0.0499043367346939"/>
          <c:w val="0.327256656723014"/>
          <c:h val="0.1509885204081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13525</Words>
  <Characters>14578</Characters>
  <Lines>61</Lines>
  <Paragraphs>17</Paragraphs>
  <TotalTime>5</TotalTime>
  <ScaleCrop>false</ScaleCrop>
  <LinksUpToDate>false</LinksUpToDate>
  <CharactersWithSpaces>15114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一叶枯</cp:lastModifiedBy>
  <cp:lastPrinted>2022-08-06T02:23:00Z</cp:lastPrinted>
  <dcterms:modified xsi:type="dcterms:W3CDTF">2022-10-24T08:48:22Z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43B119898DAD4F6E8E744DAEC00C7131</vt:lpwstr>
  </property>
</Properties>
</file>