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contextualSpacing/>
        <w:outlineLvl w:val="0"/>
        <w:rPr>
          <w:rFonts w:ascii="方正黑体_GBK" w:hAnsi="宋体" w:eastAsia="方正黑体_GBK"/>
          <w:sz w:val="33"/>
          <w:szCs w:val="33"/>
          <w:lang w:val="zh-CN"/>
        </w:rPr>
      </w:pPr>
      <w:r>
        <w:rPr>
          <w:rFonts w:hint="eastAsia" w:ascii="方正黑体_GBK" w:hAnsi="宋体" w:eastAsia="方正黑体_GBK"/>
          <w:sz w:val="33"/>
          <w:szCs w:val="33"/>
          <w:lang w:val="zh-CN"/>
        </w:rPr>
        <w:t>附件</w:t>
      </w:r>
      <w:r>
        <w:rPr>
          <w:rFonts w:hint="eastAsia" w:eastAsia="方正黑体_GBK"/>
          <w:sz w:val="33"/>
          <w:szCs w:val="33"/>
        </w:rPr>
        <w:t>2</w:t>
      </w:r>
    </w:p>
    <w:p>
      <w:pPr>
        <w:widowControl/>
        <w:spacing w:line="580" w:lineRule="exact"/>
        <w:ind w:firstLine="883" w:firstLineChars="200"/>
        <w:contextualSpacing/>
        <w:jc w:val="center"/>
        <w:rPr>
          <w:rFonts w:ascii="宋体"/>
          <w:b/>
          <w:sz w:val="44"/>
          <w:szCs w:val="44"/>
          <w:shd w:val="clear" w:color="auto" w:fill="FFFFFF"/>
        </w:rPr>
      </w:pPr>
    </w:p>
    <w:p>
      <w:pPr>
        <w:widowControl/>
        <w:spacing w:line="580" w:lineRule="exact"/>
        <w:contextualSpacing/>
        <w:jc w:val="center"/>
        <w:outlineLvl w:val="0"/>
        <w:rPr>
          <w:rFonts w:hint="eastAsia" w:ascii="方正小标宋简体" w:hAnsi="宋体" w:eastAsia="方正小标宋简体"/>
          <w:sz w:val="44"/>
          <w:szCs w:val="44"/>
          <w:shd w:val="clear" w:color="auto" w:fill="FFFFFF"/>
          <w:lang w:eastAsia="zh-CN"/>
        </w:rPr>
      </w:pPr>
      <w:r>
        <w:rPr>
          <w:rFonts w:hint="eastAsia" w:ascii="方正小标宋简体" w:hAnsi="宋体" w:eastAsia="方正小标宋简体"/>
          <w:sz w:val="44"/>
          <w:szCs w:val="44"/>
          <w:shd w:val="clear" w:color="auto" w:fill="FFFFFF"/>
          <w:lang w:eastAsia="zh-CN"/>
        </w:rPr>
        <w:t>乐山市沙湾区文化体育和旅游局</w:t>
      </w:r>
    </w:p>
    <w:p>
      <w:pPr>
        <w:widowControl/>
        <w:spacing w:line="580" w:lineRule="exact"/>
        <w:contextualSpacing/>
        <w:jc w:val="center"/>
        <w:outlineLvl w:val="0"/>
        <w:rPr>
          <w:rFonts w:ascii="方正小标宋简体" w:eastAsia="方正小标宋简体"/>
          <w:sz w:val="44"/>
          <w:szCs w:val="44"/>
          <w:shd w:val="clear" w:color="auto" w:fill="FFFFFF"/>
        </w:rPr>
      </w:pPr>
      <w:bookmarkStart w:id="3" w:name="_GoBack"/>
      <w:r>
        <w:rPr>
          <w:rFonts w:hint="eastAsia" w:ascii="方正小标宋简体" w:hAnsi="宋体" w:eastAsia="方正小标宋简体"/>
          <w:sz w:val="44"/>
          <w:szCs w:val="44"/>
          <w:shd w:val="clear" w:color="auto" w:fill="FFFFFF"/>
        </w:rPr>
        <w:t>整体支出绩效自评报告</w:t>
      </w:r>
      <w:bookmarkEnd w:id="3"/>
    </w:p>
    <w:p>
      <w:pPr>
        <w:widowControl/>
        <w:adjustRightInd w:val="0"/>
        <w:snapToGrid w:val="0"/>
        <w:spacing w:line="580" w:lineRule="exact"/>
        <w:ind w:firstLine="660" w:firstLineChars="200"/>
        <w:contextualSpacing/>
        <w:jc w:val="left"/>
        <w:rPr>
          <w:rFonts w:ascii="方正仿宋_GBK" w:hAnsi="宋体" w:eastAsia="方正仿宋_GBK" w:cs="宋体"/>
          <w:color w:val="000000"/>
          <w:kern w:val="0"/>
          <w:sz w:val="33"/>
          <w:szCs w:val="33"/>
          <w:shd w:val="clear" w:color="auto" w:fill="FFFFFF"/>
        </w:rPr>
      </w:pPr>
    </w:p>
    <w:p>
      <w:pPr>
        <w:widowControl/>
        <w:adjustRightInd w:val="0"/>
        <w:snapToGrid w:val="0"/>
        <w:spacing w:line="580" w:lineRule="exact"/>
        <w:ind w:firstLine="640" w:firstLineChars="200"/>
        <w:contextualSpacing/>
        <w:jc w:val="left"/>
        <w:outlineLvl w:val="0"/>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rPr>
        <w:t>一、</w:t>
      </w:r>
      <w:r>
        <w:rPr>
          <w:rFonts w:hint="eastAsia" w:ascii="仿宋" w:hAnsi="仿宋" w:eastAsia="仿宋" w:cs="仿宋"/>
          <w:color w:val="000000"/>
          <w:kern w:val="0"/>
          <w:sz w:val="32"/>
          <w:szCs w:val="32"/>
          <w:shd w:val="clear" w:color="auto" w:fill="FFFFFF"/>
          <w:lang w:val="zh-CN"/>
        </w:rPr>
        <w:t>单位概况</w:t>
      </w:r>
    </w:p>
    <w:p>
      <w:pPr>
        <w:pStyle w:val="20"/>
        <w:ind w:left="5" w:leftChars="0" w:firstLineChars="0"/>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机构组成。</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620" w:firstLineChars="200"/>
        <w:jc w:val="left"/>
        <w:textAlignment w:val="auto"/>
      </w:pPr>
      <w:r>
        <w:rPr>
          <w:rFonts w:hint="eastAsia" w:ascii="仿宋_GB2312" w:hAnsi="仿宋_GB2312" w:eastAsia="仿宋_GB2312" w:cs="仿宋_GB2312"/>
          <w:color w:val="000000"/>
          <w:kern w:val="0"/>
          <w:sz w:val="31"/>
          <w:szCs w:val="31"/>
          <w:lang w:val="en-US" w:eastAsia="zh-CN" w:bidi="ar"/>
        </w:rPr>
        <w:t>乐山市沙湾区文化体育和旅游局（简称区文体旅局）是</w:t>
      </w:r>
      <w:r>
        <w:rPr>
          <w:rFonts w:ascii="仿宋_GB2312" w:hAnsi="仿宋_GB2312" w:eastAsia="仿宋_GB2312" w:cs="仿宋_GB2312"/>
          <w:color w:val="000000"/>
          <w:kern w:val="0"/>
          <w:sz w:val="31"/>
          <w:szCs w:val="31"/>
          <w:lang w:val="en-US" w:eastAsia="zh-CN" w:bidi="ar"/>
        </w:rPr>
        <w:t xml:space="preserve">乐山市沙湾区人民政府工作部门，为正科级， 加挂乐山市沙湾区广播电视局牌子，内设综合股、旅游股和文化 体育广电股等三个股室，下属二级预算单位 </w:t>
      </w:r>
      <w:r>
        <w:rPr>
          <w:rFonts w:ascii="TimesNewRomanPSMT" w:hAnsi="TimesNewRomanPSMT" w:eastAsia="TimesNewRomanPSMT" w:cs="TimesNewRomanPSMT"/>
          <w:color w:val="000000"/>
          <w:kern w:val="0"/>
          <w:sz w:val="31"/>
          <w:szCs w:val="31"/>
          <w:lang w:val="en-US" w:eastAsia="zh-CN" w:bidi="ar"/>
        </w:rPr>
        <w:t xml:space="preserve">3 </w:t>
      </w:r>
      <w:r>
        <w:rPr>
          <w:rFonts w:ascii="仿宋_GB2312" w:hAnsi="仿宋_GB2312" w:eastAsia="仿宋_GB2312" w:cs="仿宋_GB2312"/>
          <w:color w:val="000000"/>
          <w:kern w:val="0"/>
          <w:sz w:val="31"/>
          <w:szCs w:val="31"/>
          <w:lang w:val="en-US" w:eastAsia="zh-CN" w:bidi="ar"/>
        </w:rPr>
        <w:t xml:space="preserve">个，其中行政单位 </w:t>
      </w:r>
      <w:r>
        <w:rPr>
          <w:rFonts w:hint="default" w:ascii="TimesNewRomanPSMT" w:hAnsi="TimesNewRomanPSMT" w:eastAsia="TimesNewRomanPSMT" w:cs="TimesNewRomanPSMT"/>
          <w:color w:val="000000"/>
          <w:kern w:val="0"/>
          <w:sz w:val="31"/>
          <w:szCs w:val="31"/>
          <w:lang w:val="en-US" w:eastAsia="zh-CN" w:bidi="ar"/>
        </w:rPr>
        <w:t xml:space="preserve">0 </w:t>
      </w:r>
      <w:r>
        <w:rPr>
          <w:rFonts w:ascii="仿宋_GB2312" w:hAnsi="仿宋_GB2312" w:eastAsia="仿宋_GB2312" w:cs="仿宋_GB2312"/>
          <w:color w:val="000000"/>
          <w:kern w:val="0"/>
          <w:sz w:val="31"/>
          <w:szCs w:val="31"/>
          <w:lang w:val="en-US" w:eastAsia="zh-CN" w:bidi="ar"/>
        </w:rPr>
        <w:t xml:space="preserve">个，其他事业单位 </w:t>
      </w:r>
      <w:r>
        <w:rPr>
          <w:rFonts w:hint="default" w:ascii="TimesNewRomanPSMT" w:hAnsi="TimesNewRomanPSMT" w:eastAsia="TimesNewRomanPSMT" w:cs="TimesNewRomanPSMT"/>
          <w:color w:val="000000"/>
          <w:kern w:val="0"/>
          <w:sz w:val="31"/>
          <w:szCs w:val="31"/>
          <w:lang w:val="en-US" w:eastAsia="zh-CN" w:bidi="ar"/>
        </w:rPr>
        <w:t xml:space="preserve">3 </w:t>
      </w:r>
      <w:r>
        <w:rPr>
          <w:rFonts w:ascii="仿宋_GB2312" w:hAnsi="仿宋_GB2312" w:eastAsia="仿宋_GB2312" w:cs="仿宋_GB2312"/>
          <w:color w:val="000000"/>
          <w:kern w:val="0"/>
          <w:sz w:val="31"/>
          <w:szCs w:val="31"/>
          <w:lang w:val="en-US" w:eastAsia="zh-CN" w:bidi="ar"/>
        </w:rPr>
        <w:t>个，系沙湾区文化馆、沙湾区图书馆、沙湾区文物保护管理所。受沙湾区政府委托，区文体旅游局代管旅游景区服务中心</w:t>
      </w:r>
      <w:r>
        <w:rPr>
          <w:rFonts w:hint="eastAsia" w:ascii="仿宋_GB2312" w:hAnsi="仿宋_GB2312" w:eastAsia="仿宋_GB2312" w:cs="仿宋_GB2312"/>
          <w:color w:val="000000"/>
          <w:kern w:val="0"/>
          <w:sz w:val="31"/>
          <w:szCs w:val="31"/>
          <w:lang w:val="en-US" w:eastAsia="zh-CN" w:bidi="ar"/>
        </w:rPr>
        <w:t>。</w:t>
      </w:r>
    </w:p>
    <w:p>
      <w:pPr>
        <w:pStyle w:val="20"/>
        <w:ind w:left="5" w:leftChars="0" w:firstLineChars="0"/>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机构职能</w:t>
      </w:r>
      <w:r>
        <w:rPr>
          <w:rFonts w:hint="eastAsia" w:ascii="仿宋" w:hAnsi="仿宋" w:eastAsia="仿宋" w:cs="仿宋"/>
          <w:sz w:val="32"/>
          <w:szCs w:val="32"/>
          <w:shd w:val="clear" w:color="auto" w:fill="FFFFFF"/>
          <w:lang w:eastAsia="zh-CN"/>
        </w:rPr>
        <w:t>。</w:t>
      </w:r>
    </w:p>
    <w:p>
      <w:pPr>
        <w:keepNext w:val="0"/>
        <w:keepLines w:val="0"/>
        <w:pageBreakBefore w:val="0"/>
        <w:widowControl/>
        <w:suppressLineNumbers w:val="0"/>
        <w:kinsoku/>
        <w:wordWrap/>
        <w:overflowPunct/>
        <w:autoSpaceDE/>
        <w:autoSpaceDN/>
        <w:bidi w:val="0"/>
        <w:spacing w:line="600" w:lineRule="exact"/>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区文体旅游局属于政府职能部门，其主要的工作职责是： </w:t>
      </w:r>
    </w:p>
    <w:p>
      <w:pPr>
        <w:keepNext w:val="0"/>
        <w:keepLines w:val="0"/>
        <w:pageBreakBefore w:val="0"/>
        <w:widowControl/>
        <w:suppressLineNumbers w:val="0"/>
        <w:kinsoku/>
        <w:wordWrap/>
        <w:overflowPunct/>
        <w:autoSpaceDE/>
        <w:autoSpaceDN/>
        <w:bidi w:val="0"/>
        <w:spacing w:line="600" w:lineRule="exact"/>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1、拟订文化、体育、旅游、广播电视、文物保护相关的政策措施和规范性文件并组织实施，负责本系统、本部门依法行政工作。 </w:t>
      </w:r>
    </w:p>
    <w:p>
      <w:pPr>
        <w:keepNext w:val="0"/>
        <w:keepLines w:val="0"/>
        <w:pageBreakBefore w:val="0"/>
        <w:widowControl/>
        <w:suppressLineNumbers w:val="0"/>
        <w:kinsoku/>
        <w:wordWrap/>
        <w:overflowPunct/>
        <w:autoSpaceDE/>
        <w:autoSpaceDN/>
        <w:bidi w:val="0"/>
        <w:spacing w:line="600" w:lineRule="exact"/>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2、组织推动全区文化事业、文化产业、体育事业、体育产业、旅游业、广播电视和文物工作，拟订发展规划并组织实施，推进文化体育和旅游、广播电视体制机制改革和融合发展。 </w:t>
      </w:r>
    </w:p>
    <w:p>
      <w:pPr>
        <w:keepNext w:val="0"/>
        <w:keepLines w:val="0"/>
        <w:pageBreakBefore w:val="0"/>
        <w:widowControl/>
        <w:suppressLineNumbers w:val="0"/>
        <w:kinsoku/>
        <w:wordWrap/>
        <w:overflowPunct/>
        <w:autoSpaceDE/>
        <w:autoSpaceDN/>
        <w:bidi w:val="0"/>
        <w:spacing w:line="600" w:lineRule="exact"/>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3、管理全区重大文化、体育、旅游、广播电视活动，指导全区重点文化、体育、旅游、广播电视、文物设施建设，组织全区文化体育和旅游整体形象推广，制定市场开发战略并组织实施，推进全域旅游。 </w:t>
      </w:r>
    </w:p>
    <w:p>
      <w:pPr>
        <w:keepNext w:val="0"/>
        <w:keepLines w:val="0"/>
        <w:pageBreakBefore w:val="0"/>
        <w:widowControl/>
        <w:suppressLineNumbers w:val="0"/>
        <w:kinsoku/>
        <w:wordWrap/>
        <w:overflowPunct/>
        <w:autoSpaceDE/>
        <w:autoSpaceDN/>
        <w:bidi w:val="0"/>
        <w:spacing w:line="600" w:lineRule="exact"/>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4、推动全区文艺事业发展，促进各门类艺术、各艺术品种发展，推动中华优秀传统文化和巴蜀文化传承发展。 </w:t>
      </w:r>
    </w:p>
    <w:p>
      <w:pPr>
        <w:keepNext w:val="0"/>
        <w:keepLines w:val="0"/>
        <w:pageBreakBefore w:val="0"/>
        <w:widowControl/>
        <w:suppressLineNumbers w:val="0"/>
        <w:kinsoku/>
        <w:wordWrap/>
        <w:overflowPunct/>
        <w:autoSpaceDE/>
        <w:autoSpaceDN/>
        <w:bidi w:val="0"/>
        <w:spacing w:line="600" w:lineRule="exact"/>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5、负责公共文化事业发展，推进全区公共文化服务体系建设，深入实施文化惠民工程，统筹推进基本公共文化服务标准化、均等化。 </w:t>
      </w:r>
    </w:p>
    <w:p>
      <w:pPr>
        <w:keepNext w:val="0"/>
        <w:keepLines w:val="0"/>
        <w:pageBreakBefore w:val="0"/>
        <w:widowControl/>
        <w:suppressLineNumbers w:val="0"/>
        <w:kinsoku/>
        <w:wordWrap/>
        <w:overflowPunct/>
        <w:autoSpaceDE/>
        <w:autoSpaceDN/>
        <w:bidi w:val="0"/>
        <w:spacing w:line="600" w:lineRule="exact"/>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6、推进文化体育和旅游创新发展，推进文化体育和旅游行业信息化、标准化建设。 </w:t>
      </w:r>
    </w:p>
    <w:p>
      <w:pPr>
        <w:keepNext w:val="0"/>
        <w:keepLines w:val="0"/>
        <w:pageBreakBefore w:val="0"/>
        <w:widowControl/>
        <w:suppressLineNumbers w:val="0"/>
        <w:kinsoku/>
        <w:wordWrap/>
        <w:overflowPunct/>
        <w:autoSpaceDE/>
        <w:autoSpaceDN/>
        <w:bidi w:val="0"/>
        <w:spacing w:line="600" w:lineRule="exact"/>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7、负责非物质文化遗产保护，推动非物质文化遗产的保护、 传承、普及、弘扬和振兴。 </w:t>
      </w:r>
    </w:p>
    <w:p>
      <w:pPr>
        <w:keepNext w:val="0"/>
        <w:keepLines w:val="0"/>
        <w:pageBreakBefore w:val="0"/>
        <w:widowControl/>
        <w:suppressLineNumbers w:val="0"/>
        <w:kinsoku/>
        <w:wordWrap/>
        <w:overflowPunct/>
        <w:autoSpaceDE/>
        <w:autoSpaceDN/>
        <w:bidi w:val="0"/>
        <w:spacing w:line="600" w:lineRule="exact"/>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8、组织实施文化体育和旅游资源普查、挖掘、保护与利用工作，促进文化体育和旅游产业发展。 </w:t>
      </w:r>
    </w:p>
    <w:p>
      <w:pPr>
        <w:keepNext w:val="0"/>
        <w:keepLines w:val="0"/>
        <w:pageBreakBefore w:val="0"/>
        <w:widowControl/>
        <w:suppressLineNumbers w:val="0"/>
        <w:kinsoku/>
        <w:wordWrap/>
        <w:overflowPunct/>
        <w:autoSpaceDE/>
        <w:autoSpaceDN/>
        <w:bidi w:val="0"/>
        <w:spacing w:line="600" w:lineRule="exact"/>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9、指导文化体育旅游和广播电视市场发展，对市场经营进行行业监管，推进文化旅游和广播电视行业信用体系建设，依法规范文化体育旅游和广播电视市场。 </w:t>
      </w:r>
    </w:p>
    <w:p>
      <w:pPr>
        <w:keepNext w:val="0"/>
        <w:keepLines w:val="0"/>
        <w:pageBreakBefore w:val="0"/>
        <w:widowControl/>
        <w:suppressLineNumbers w:val="0"/>
        <w:kinsoku/>
        <w:wordWrap/>
        <w:overflowPunct/>
        <w:autoSpaceDE/>
        <w:autoSpaceDN/>
        <w:bidi w:val="0"/>
        <w:spacing w:line="600" w:lineRule="exact"/>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10、统筹全区文化体育旅游市场综合执法，组织查处全区性文化、体育、旅游、广播电视、文物等市场的违法行为，维护市场秩序。 </w:t>
      </w:r>
    </w:p>
    <w:p>
      <w:pPr>
        <w:keepNext w:val="0"/>
        <w:keepLines w:val="0"/>
        <w:pageBreakBefore w:val="0"/>
        <w:widowControl/>
        <w:suppressLineNumbers w:val="0"/>
        <w:kinsoku/>
        <w:wordWrap/>
        <w:overflowPunct/>
        <w:autoSpaceDE/>
        <w:autoSpaceDN/>
        <w:bidi w:val="0"/>
        <w:spacing w:line="600" w:lineRule="exact"/>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11、负责管理文化、体育、旅游、广播电视和文物对外交流与宣传推广工作，代表沙湾区人民政府签订对外合作协议；组织大型文化、体育、旅游、广播电视、文物活动。 </w:t>
      </w:r>
    </w:p>
    <w:p>
      <w:pPr>
        <w:keepNext w:val="0"/>
        <w:keepLines w:val="0"/>
        <w:pageBreakBefore w:val="0"/>
        <w:widowControl/>
        <w:suppressLineNumbers w:val="0"/>
        <w:kinsoku/>
        <w:wordWrap/>
        <w:overflowPunct/>
        <w:autoSpaceDE/>
        <w:autoSpaceDN/>
        <w:bidi w:val="0"/>
        <w:spacing w:line="600" w:lineRule="exact"/>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12、实施广播电视节目评价工作，监督管理、审查广播电视和网络视听节目的内容及质量；指导、监督广播电视广告播放。 </w:t>
      </w:r>
    </w:p>
    <w:p>
      <w:pPr>
        <w:keepNext w:val="0"/>
        <w:keepLines w:val="0"/>
        <w:pageBreakBefore w:val="0"/>
        <w:widowControl/>
        <w:suppressLineNumbers w:val="0"/>
        <w:kinsoku/>
        <w:wordWrap/>
        <w:overflowPunct/>
        <w:autoSpaceDE/>
        <w:autoSpaceDN/>
        <w:bidi w:val="0"/>
        <w:spacing w:line="600" w:lineRule="exact"/>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13、拟定全区广播电视事业发展规划，指导、监督实施行业技术标准；负责广播电视节目传输覆盖、监测和安全播出的监督管理，指导、推进应急广播体系建设；负责推进广播电视与新媒体新技术新业态融合发展。 </w:t>
      </w:r>
    </w:p>
    <w:p>
      <w:pPr>
        <w:keepNext w:val="0"/>
        <w:keepLines w:val="0"/>
        <w:pageBreakBefore w:val="0"/>
        <w:widowControl/>
        <w:suppressLineNumbers w:val="0"/>
        <w:kinsoku/>
        <w:wordWrap/>
        <w:overflowPunct/>
        <w:autoSpaceDE/>
        <w:autoSpaceDN/>
        <w:bidi w:val="0"/>
        <w:spacing w:line="600" w:lineRule="exact"/>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14、管理和指导全区文物保护利用与考古工作；组织文物资源调查；负责组织遴选、申报区级以上文物保护单位；组织协调重大文物保护、考古项目的实施；协调、指导基本建设涉及文物保护相关工作；组织指导文物保护宣传工作；承担文物进出境有关工作；协调、指导和监督全区文物安全工作；履行文物行政督察职责。 </w:t>
      </w:r>
    </w:p>
    <w:p>
      <w:pPr>
        <w:keepNext w:val="0"/>
        <w:keepLines w:val="0"/>
        <w:pageBreakBefore w:val="0"/>
        <w:widowControl/>
        <w:suppressLineNumbers w:val="0"/>
        <w:kinsoku/>
        <w:wordWrap/>
        <w:overflowPunct/>
        <w:autoSpaceDE/>
        <w:autoSpaceDN/>
        <w:bidi w:val="0"/>
        <w:spacing w:line="600" w:lineRule="exact"/>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15、组织开展文化遗产申报、保护和管理；协同相关部门负责世界文化与自然遗产、历史文化名城（镇、村）申报和监督管理工作。 </w:t>
      </w:r>
    </w:p>
    <w:p>
      <w:pPr>
        <w:keepNext w:val="0"/>
        <w:keepLines w:val="0"/>
        <w:pageBreakBefore w:val="0"/>
        <w:widowControl/>
        <w:suppressLineNumbers w:val="0"/>
        <w:kinsoku/>
        <w:wordWrap/>
        <w:overflowPunct/>
        <w:autoSpaceDE/>
        <w:autoSpaceDN/>
        <w:bidi w:val="0"/>
        <w:spacing w:line="600" w:lineRule="exact"/>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16、负责推动完善全区文物和博物馆（纪念馆）公共服务体系建设；指导博物馆（纪念馆）建设管理和社会文物管理工作；组织指导文物和博物馆（纪念馆）领域重大科研项目、科技保护、标准化建设；推动装备技术提升。 </w:t>
      </w:r>
    </w:p>
    <w:p>
      <w:pPr>
        <w:keepNext w:val="0"/>
        <w:keepLines w:val="0"/>
        <w:pageBreakBefore w:val="0"/>
        <w:widowControl/>
        <w:suppressLineNumbers w:val="0"/>
        <w:kinsoku/>
        <w:wordWrap/>
        <w:overflowPunct/>
        <w:autoSpaceDE/>
        <w:autoSpaceDN/>
        <w:bidi w:val="0"/>
        <w:spacing w:line="600" w:lineRule="exact"/>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17、统筹规划全区群众体育发展，负责推行全民健身计划，监督实施国家体育锻炼标准，推动全区国民体质监测和社会体育指导工作队伍制度建设，指导公共体育设施的建设，负责公共体育设施的管理。 </w:t>
      </w:r>
    </w:p>
    <w:p>
      <w:pPr>
        <w:keepNext w:val="0"/>
        <w:keepLines w:val="0"/>
        <w:pageBreakBefore w:val="0"/>
        <w:widowControl/>
        <w:suppressLineNumbers w:val="0"/>
        <w:kinsoku/>
        <w:wordWrap/>
        <w:overflowPunct/>
        <w:autoSpaceDE/>
        <w:autoSpaceDN/>
        <w:bidi w:val="0"/>
        <w:spacing w:line="600" w:lineRule="exact"/>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18、统筹规划全区竞技体育发展，指导业余体育训练、体育竞赛和运动员队伍建设，负责组织协调区级综合性运动会的竞赛工作，协调运动员社会保障工作;组织举办区级以上综合性运动会和单项体育竞赛。 </w:t>
      </w:r>
    </w:p>
    <w:p>
      <w:pPr>
        <w:keepNext w:val="0"/>
        <w:keepLines w:val="0"/>
        <w:pageBreakBefore w:val="0"/>
        <w:widowControl/>
        <w:suppressLineNumbers w:val="0"/>
        <w:kinsoku/>
        <w:wordWrap/>
        <w:overflowPunct/>
        <w:autoSpaceDE/>
        <w:autoSpaceDN/>
        <w:bidi w:val="0"/>
        <w:spacing w:line="600" w:lineRule="exact"/>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19、拟定全区体育产业发展政策，培育和管理体育市场，发展体育产业，监督指导高危险性体育项目经营和体育竞赛表演活动；指导全区体育场馆规划建设、维修改造及开发工作；规范体育服务管理，推动体育标准化建设；负责指导全区体育彩票销售工作。 </w:t>
      </w:r>
    </w:p>
    <w:p>
      <w:pPr>
        <w:keepNext w:val="0"/>
        <w:keepLines w:val="0"/>
        <w:pageBreakBefore w:val="0"/>
        <w:widowControl/>
        <w:suppressLineNumbers w:val="0"/>
        <w:kinsoku/>
        <w:wordWrap/>
        <w:overflowPunct/>
        <w:autoSpaceDE/>
        <w:autoSpaceDN/>
        <w:bidi w:val="0"/>
        <w:spacing w:line="600" w:lineRule="exact"/>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20、推进体育文化建设，指导、管理体育外事有关工作，组织开展体育对外交流与合作。 </w:t>
      </w:r>
    </w:p>
    <w:p>
      <w:pPr>
        <w:keepNext w:val="0"/>
        <w:keepLines w:val="0"/>
        <w:pageBreakBefore w:val="0"/>
        <w:widowControl/>
        <w:suppressLineNumbers w:val="0"/>
        <w:kinsoku/>
        <w:wordWrap/>
        <w:overflowPunct/>
        <w:autoSpaceDE/>
        <w:autoSpaceDN/>
        <w:bidi w:val="0"/>
        <w:spacing w:line="600" w:lineRule="exact"/>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21、组织、指导全区文化旅游和体育宣传、理论研究、技术攻关、科研成果推广和文化建设工作；会同有关部门开展文化、体育和旅游教育，制定并组织实施人才规划，培训文化、体育和旅游干部专业人才，建设文化、体育和旅游骨干队伍。 </w:t>
      </w:r>
    </w:p>
    <w:p>
      <w:pPr>
        <w:keepNext w:val="0"/>
        <w:keepLines w:val="0"/>
        <w:pageBreakBefore w:val="0"/>
        <w:widowControl/>
        <w:suppressLineNumbers w:val="0"/>
        <w:kinsoku/>
        <w:wordWrap/>
        <w:overflowPunct/>
        <w:autoSpaceDE/>
        <w:autoSpaceDN/>
        <w:bidi w:val="0"/>
        <w:spacing w:line="600" w:lineRule="exact"/>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22、按省市统一部署稳妥推进综合行政执法改革工作。 </w:t>
      </w:r>
    </w:p>
    <w:p>
      <w:pPr>
        <w:keepNext w:val="0"/>
        <w:keepLines w:val="0"/>
        <w:pageBreakBefore w:val="0"/>
        <w:widowControl/>
        <w:suppressLineNumbers w:val="0"/>
        <w:kinsoku/>
        <w:wordWrap/>
        <w:overflowPunct/>
        <w:autoSpaceDE/>
        <w:autoSpaceDN/>
        <w:bidi w:val="0"/>
        <w:spacing w:line="600" w:lineRule="exact"/>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23、负责职责范围内的安全生产和职业健康、生态环境保护等工作。 </w:t>
      </w:r>
    </w:p>
    <w:p>
      <w:pPr>
        <w:keepNext w:val="0"/>
        <w:keepLines w:val="0"/>
        <w:pageBreakBefore w:val="0"/>
        <w:widowControl/>
        <w:suppressLineNumbers w:val="0"/>
        <w:kinsoku/>
        <w:wordWrap/>
        <w:overflowPunct/>
        <w:autoSpaceDE/>
        <w:autoSpaceDN/>
        <w:bidi w:val="0"/>
        <w:spacing w:line="600" w:lineRule="exact"/>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 xml:space="preserve">24、完成区委、区政府交办的其他工作。 </w:t>
      </w:r>
    </w:p>
    <w:p>
      <w:pPr>
        <w:keepNext w:val="0"/>
        <w:keepLines w:val="0"/>
        <w:pageBreakBefore w:val="0"/>
        <w:widowControl/>
        <w:suppressLineNumbers w:val="0"/>
        <w:kinsoku/>
        <w:wordWrap/>
        <w:overflowPunct/>
        <w:autoSpaceDE/>
        <w:autoSpaceDN/>
        <w:bidi w:val="0"/>
        <w:spacing w:line="600" w:lineRule="exact"/>
        <w:ind w:firstLine="640" w:firstLineChars="200"/>
        <w:jc w:val="left"/>
        <w:rPr>
          <w:rFonts w:hint="eastAsia" w:ascii="仿宋" w:hAnsi="仿宋" w:eastAsia="仿宋" w:cs="仿宋"/>
          <w:sz w:val="32"/>
          <w:szCs w:val="32"/>
        </w:rPr>
      </w:pPr>
      <w:r>
        <w:rPr>
          <w:rFonts w:hint="eastAsia" w:ascii="仿宋" w:hAnsi="仿宋" w:eastAsia="仿宋" w:cs="仿宋"/>
          <w:color w:val="000000"/>
          <w:kern w:val="0"/>
          <w:sz w:val="32"/>
          <w:szCs w:val="32"/>
          <w:lang w:val="en-US" w:eastAsia="zh-CN" w:bidi="ar"/>
        </w:rPr>
        <w:t>25、统筹推进承担行政职能的事业单位改革。区旅游景区</w:t>
      </w:r>
      <w:r>
        <w:rPr>
          <w:rFonts w:hint="default" w:ascii="仿宋" w:hAnsi="仿宋" w:eastAsia="仿宋" w:cs="仿宋"/>
          <w:color w:val="000000"/>
          <w:kern w:val="0"/>
          <w:sz w:val="32"/>
          <w:szCs w:val="32"/>
          <w:lang w:eastAsia="zh-CN" w:bidi="ar"/>
        </w:rPr>
        <w:t>服务中心</w:t>
      </w:r>
      <w:r>
        <w:rPr>
          <w:rFonts w:hint="eastAsia" w:ascii="仿宋" w:hAnsi="仿宋" w:eastAsia="仿宋" w:cs="仿宋"/>
          <w:color w:val="000000"/>
          <w:kern w:val="0"/>
          <w:sz w:val="32"/>
          <w:szCs w:val="32"/>
          <w:lang w:val="en-US" w:eastAsia="zh-CN" w:bidi="ar"/>
        </w:rPr>
        <w:t xml:space="preserve">、区文物保护管理所不再承担相关管理行政职责。上述行政职责交由区文化体育旅游局机关有关内设机构承担。 </w:t>
      </w:r>
    </w:p>
    <w:p>
      <w:pPr>
        <w:keepNext w:val="0"/>
        <w:keepLines w:val="0"/>
        <w:pageBreakBefore w:val="0"/>
        <w:widowControl/>
        <w:suppressLineNumbers w:val="0"/>
        <w:kinsoku/>
        <w:wordWrap/>
        <w:overflowPunct/>
        <w:autoSpaceDE/>
        <w:autoSpaceDN/>
        <w:bidi w:val="0"/>
        <w:spacing w:line="600" w:lineRule="exact"/>
        <w:ind w:firstLine="640" w:firstLineChars="200"/>
        <w:jc w:val="left"/>
        <w:rPr>
          <w:rFonts w:hint="eastAsia" w:ascii="仿宋" w:hAnsi="仿宋" w:eastAsia="仿宋" w:cs="仿宋"/>
          <w:sz w:val="32"/>
          <w:szCs w:val="32"/>
          <w:lang w:eastAsia="zh-CN"/>
        </w:rPr>
      </w:pPr>
      <w:r>
        <w:rPr>
          <w:rFonts w:hint="eastAsia" w:ascii="仿宋" w:hAnsi="仿宋" w:eastAsia="仿宋" w:cs="仿宋"/>
          <w:color w:val="000000"/>
          <w:kern w:val="0"/>
          <w:sz w:val="32"/>
          <w:szCs w:val="32"/>
          <w:lang w:val="en-US" w:eastAsia="zh-CN" w:bidi="ar"/>
        </w:rPr>
        <w:t>26、职能转变。以人民对美好生活的向往为引导，统筹推进文化事业、文化产业、体育事业、体育产业和旅游产业融合发展；用好文化创意、科技创新和社会投资等新动能，促进文化、体育和旅游与相关产业融合发展；坚持“文旅兴区、产业强区”发展主线，强化“旅游主导”地位，加快建设工旅融合示范区，创建天府旅游名县，融入乐山建设世界旅游重要目的地。</w:t>
      </w:r>
    </w:p>
    <w:p>
      <w:pPr>
        <w:pStyle w:val="20"/>
        <w:keepNext w:val="0"/>
        <w:keepLines w:val="0"/>
        <w:pageBreakBefore w:val="0"/>
        <w:kinsoku/>
        <w:wordWrap/>
        <w:overflowPunct/>
        <w:autoSpaceDE/>
        <w:autoSpaceDN/>
        <w:bidi w:val="0"/>
        <w:spacing w:line="600" w:lineRule="exact"/>
        <w:ind w:left="5" w:leftChars="0" w:firstLine="640" w:firstLineChars="200"/>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人员概况</w:t>
      </w:r>
      <w:r>
        <w:rPr>
          <w:rFonts w:hint="eastAsia" w:ascii="仿宋" w:hAnsi="仿宋" w:eastAsia="仿宋" w:cs="仿宋"/>
          <w:sz w:val="32"/>
          <w:szCs w:val="32"/>
          <w:shd w:val="clear" w:color="auto" w:fill="FFFFFF"/>
          <w:lang w:eastAsia="zh-CN"/>
        </w:rPr>
        <w:t>。</w:t>
      </w:r>
    </w:p>
    <w:p>
      <w:pPr>
        <w:keepNext w:val="0"/>
        <w:keepLines w:val="0"/>
        <w:pageBreakBefore w:val="0"/>
        <w:widowControl/>
        <w:suppressLineNumbers w:val="0"/>
        <w:kinsoku/>
        <w:wordWrap/>
        <w:overflowPunct/>
        <w:autoSpaceDE/>
        <w:autoSpaceDN/>
        <w:bidi w:val="0"/>
        <w:spacing w:line="600" w:lineRule="exact"/>
        <w:ind w:firstLine="620" w:firstLineChars="200"/>
        <w:jc w:val="left"/>
      </w:pPr>
      <w:r>
        <w:rPr>
          <w:rFonts w:ascii="仿宋_GB2312" w:hAnsi="仿宋_GB2312" w:eastAsia="仿宋_GB2312" w:cs="仿宋_GB2312"/>
          <w:color w:val="000000"/>
          <w:kern w:val="0"/>
          <w:sz w:val="31"/>
          <w:szCs w:val="31"/>
          <w:lang w:val="en-US" w:eastAsia="zh-CN" w:bidi="ar"/>
        </w:rPr>
        <w:t>区</w:t>
      </w:r>
      <w:r>
        <w:rPr>
          <w:rFonts w:ascii="仿宋_GB2312" w:hAnsi="仿宋_GB2312" w:eastAsia="仿宋_GB2312" w:cs="仿宋_GB2312"/>
          <w:color w:val="000000"/>
          <w:kern w:val="0"/>
          <w:sz w:val="31"/>
          <w:szCs w:val="31"/>
          <w:lang w:eastAsia="zh-CN" w:bidi="ar"/>
        </w:rPr>
        <w:t>文体旅局</w:t>
      </w:r>
      <w:r>
        <w:rPr>
          <w:rFonts w:ascii="仿宋_GB2312" w:hAnsi="仿宋_GB2312" w:eastAsia="仿宋_GB2312" w:cs="仿宋_GB2312"/>
          <w:color w:val="000000"/>
          <w:kern w:val="0"/>
          <w:sz w:val="31"/>
          <w:szCs w:val="31"/>
          <w:lang w:val="en-US" w:eastAsia="zh-CN" w:bidi="ar"/>
        </w:rPr>
        <w:t xml:space="preserve">设机关行政编制 </w:t>
      </w:r>
      <w:r>
        <w:rPr>
          <w:rFonts w:ascii="TimesNewRomanPSMT" w:hAnsi="TimesNewRomanPSMT" w:eastAsia="TimesNewRomanPSMT" w:cs="TimesNewRomanPSMT"/>
          <w:color w:val="000000"/>
          <w:kern w:val="0"/>
          <w:sz w:val="31"/>
          <w:szCs w:val="31"/>
          <w:lang w:val="en-US" w:eastAsia="zh-CN" w:bidi="ar"/>
        </w:rPr>
        <w:t xml:space="preserve">7 </w:t>
      </w:r>
      <w:r>
        <w:rPr>
          <w:rFonts w:ascii="仿宋_GB2312" w:hAnsi="仿宋_GB2312" w:eastAsia="仿宋_GB2312" w:cs="仿宋_GB2312"/>
          <w:color w:val="000000"/>
          <w:kern w:val="0"/>
          <w:sz w:val="31"/>
          <w:szCs w:val="31"/>
          <w:lang w:val="en-US" w:eastAsia="zh-CN" w:bidi="ar"/>
        </w:rPr>
        <w:t>名，其中：局长</w:t>
      </w:r>
      <w:r>
        <w:rPr>
          <w:rFonts w:ascii="仿宋_GB2312" w:hAnsi="仿宋_GB2312" w:eastAsia="仿宋_GB2312" w:cs="仿宋_GB2312"/>
          <w:color w:val="000000"/>
          <w:kern w:val="0"/>
          <w:sz w:val="31"/>
          <w:szCs w:val="31"/>
          <w:lang w:eastAsia="zh-CN" w:bidi="ar"/>
        </w:rPr>
        <w:t>1</w:t>
      </w:r>
      <w:r>
        <w:rPr>
          <w:rFonts w:ascii="仿宋_GB2312" w:hAnsi="仿宋_GB2312" w:eastAsia="仿宋_GB2312" w:cs="仿宋_GB2312"/>
          <w:color w:val="000000"/>
          <w:kern w:val="0"/>
          <w:sz w:val="31"/>
          <w:szCs w:val="31"/>
          <w:lang w:val="en-US" w:eastAsia="zh-CN" w:bidi="ar"/>
        </w:rPr>
        <w:t xml:space="preserve">名，副局 </w:t>
      </w:r>
    </w:p>
    <w:p>
      <w:pPr>
        <w:keepNext w:val="0"/>
        <w:keepLines w:val="0"/>
        <w:pageBreakBefore w:val="0"/>
        <w:widowControl/>
        <w:suppressLineNumbers w:val="0"/>
        <w:kinsoku/>
        <w:wordWrap/>
        <w:overflowPunct/>
        <w:autoSpaceDE/>
        <w:autoSpaceDN/>
        <w:bidi w:val="0"/>
        <w:spacing w:line="600" w:lineRule="exact"/>
        <w:ind w:firstLine="620" w:firstLineChars="200"/>
        <w:jc w:val="left"/>
      </w:pPr>
      <w:r>
        <w:rPr>
          <w:rFonts w:ascii="仿宋_GB2312" w:hAnsi="仿宋_GB2312" w:eastAsia="仿宋_GB2312" w:cs="仿宋_GB2312"/>
          <w:color w:val="000000"/>
          <w:kern w:val="0"/>
          <w:sz w:val="31"/>
          <w:szCs w:val="31"/>
          <w:lang w:val="en-US" w:eastAsia="zh-CN" w:bidi="ar"/>
        </w:rPr>
        <w:t>长</w:t>
      </w:r>
      <w:r>
        <w:rPr>
          <w:rFonts w:ascii="仿宋_GB2312" w:hAnsi="仿宋_GB2312" w:eastAsia="仿宋_GB2312" w:cs="仿宋_GB2312"/>
          <w:color w:val="000000"/>
          <w:kern w:val="0"/>
          <w:sz w:val="31"/>
          <w:szCs w:val="31"/>
          <w:lang w:eastAsia="zh-CN" w:bidi="ar"/>
        </w:rPr>
        <w:t>2</w:t>
      </w:r>
      <w:r>
        <w:rPr>
          <w:rFonts w:ascii="仿宋_GB2312" w:hAnsi="仿宋_GB2312" w:eastAsia="仿宋_GB2312" w:cs="仿宋_GB2312"/>
          <w:color w:val="000000"/>
          <w:kern w:val="0"/>
          <w:sz w:val="31"/>
          <w:szCs w:val="31"/>
          <w:lang w:val="en-US" w:eastAsia="zh-CN" w:bidi="ar"/>
        </w:rPr>
        <w:t>名，机关党委书记</w:t>
      </w:r>
      <w:r>
        <w:rPr>
          <w:rFonts w:ascii="仿宋_GB2312" w:hAnsi="仿宋_GB2312" w:eastAsia="仿宋_GB2312" w:cs="仿宋_GB2312"/>
          <w:color w:val="000000"/>
          <w:kern w:val="0"/>
          <w:sz w:val="31"/>
          <w:szCs w:val="31"/>
          <w:lang w:eastAsia="zh-CN" w:bidi="ar"/>
        </w:rPr>
        <w:t>1</w:t>
      </w:r>
      <w:r>
        <w:rPr>
          <w:rFonts w:ascii="仿宋_GB2312" w:hAnsi="仿宋_GB2312" w:eastAsia="仿宋_GB2312" w:cs="仿宋_GB2312"/>
          <w:color w:val="000000"/>
          <w:kern w:val="0"/>
          <w:sz w:val="31"/>
          <w:szCs w:val="31"/>
          <w:lang w:val="en-US" w:eastAsia="zh-CN" w:bidi="ar"/>
        </w:rPr>
        <w:t>名</w:t>
      </w:r>
      <w:r>
        <w:rPr>
          <w:rFonts w:hint="default" w:ascii="TimesNewRomanPSMT" w:hAnsi="TimesNewRomanPSMT" w:eastAsia="TimesNewRomanPSMT" w:cs="TimesNewRomanPSMT"/>
          <w:color w:val="000000"/>
          <w:kern w:val="0"/>
          <w:sz w:val="31"/>
          <w:szCs w:val="31"/>
          <w:lang w:val="en-US" w:eastAsia="zh-CN" w:bidi="ar"/>
        </w:rPr>
        <w:t>,</w:t>
      </w:r>
      <w:r>
        <w:rPr>
          <w:rFonts w:ascii="仿宋_GB2312" w:hAnsi="仿宋_GB2312" w:eastAsia="仿宋_GB2312" w:cs="仿宋_GB2312"/>
          <w:color w:val="000000"/>
          <w:kern w:val="0"/>
          <w:sz w:val="31"/>
          <w:szCs w:val="31"/>
          <w:lang w:val="en-US" w:eastAsia="zh-CN" w:bidi="ar"/>
        </w:rPr>
        <w:t>正股级</w:t>
      </w:r>
      <w:r>
        <w:rPr>
          <w:rFonts w:ascii="仿宋_GB2312" w:hAnsi="仿宋_GB2312" w:eastAsia="仿宋_GB2312" w:cs="仿宋_GB2312"/>
          <w:color w:val="000000"/>
          <w:kern w:val="0"/>
          <w:sz w:val="31"/>
          <w:szCs w:val="31"/>
          <w:lang w:eastAsia="zh-CN" w:bidi="ar"/>
        </w:rPr>
        <w:t>3</w:t>
      </w:r>
      <w:r>
        <w:rPr>
          <w:rFonts w:ascii="仿宋_GB2312" w:hAnsi="仿宋_GB2312" w:eastAsia="仿宋_GB2312" w:cs="仿宋_GB2312"/>
          <w:color w:val="000000"/>
          <w:kern w:val="0"/>
          <w:sz w:val="31"/>
          <w:szCs w:val="31"/>
          <w:lang w:val="en-US" w:eastAsia="zh-CN" w:bidi="ar"/>
        </w:rPr>
        <w:t>名。保留工勤编制</w:t>
      </w:r>
      <w:r>
        <w:rPr>
          <w:rFonts w:ascii="仿宋_GB2312" w:hAnsi="仿宋_GB2312" w:eastAsia="仿宋_GB2312" w:cs="仿宋_GB2312"/>
          <w:color w:val="000000"/>
          <w:kern w:val="0"/>
          <w:sz w:val="31"/>
          <w:szCs w:val="31"/>
          <w:lang w:eastAsia="zh-CN" w:bidi="ar"/>
        </w:rPr>
        <w:t>2</w:t>
      </w:r>
      <w:r>
        <w:rPr>
          <w:rFonts w:ascii="仿宋_GB2312" w:hAnsi="仿宋_GB2312" w:eastAsia="仿宋_GB2312" w:cs="仿宋_GB2312"/>
          <w:color w:val="000000"/>
          <w:kern w:val="0"/>
          <w:sz w:val="31"/>
          <w:szCs w:val="31"/>
          <w:lang w:val="en-US" w:eastAsia="zh-CN" w:bidi="ar"/>
        </w:rPr>
        <w:t xml:space="preserve">名。 </w:t>
      </w:r>
    </w:p>
    <w:p>
      <w:pPr>
        <w:keepNext w:val="0"/>
        <w:keepLines w:val="0"/>
        <w:pageBreakBefore w:val="0"/>
        <w:widowControl/>
        <w:suppressLineNumbers w:val="0"/>
        <w:kinsoku/>
        <w:wordWrap/>
        <w:overflowPunct/>
        <w:autoSpaceDE/>
        <w:autoSpaceDN/>
        <w:bidi w:val="0"/>
        <w:spacing w:line="600" w:lineRule="exact"/>
        <w:ind w:firstLine="620" w:firstLineChars="200"/>
        <w:jc w:val="left"/>
      </w:pPr>
      <w:r>
        <w:rPr>
          <w:rFonts w:hint="default" w:ascii="TimesNewRomanPSMT" w:hAnsi="TimesNewRomanPSMT" w:eastAsia="TimesNewRomanPSMT" w:cs="TimesNewRomanPSMT"/>
          <w:color w:val="000000"/>
          <w:kern w:val="0"/>
          <w:sz w:val="31"/>
          <w:szCs w:val="31"/>
          <w:lang w:val="en-US" w:eastAsia="zh-CN" w:bidi="ar"/>
        </w:rPr>
        <w:t>202</w:t>
      </w:r>
      <w:r>
        <w:rPr>
          <w:rFonts w:hint="default" w:ascii="TimesNewRomanPSMT" w:hAnsi="TimesNewRomanPSMT" w:eastAsia="TimesNewRomanPSMT" w:cs="TimesNewRomanPSMT"/>
          <w:color w:val="000000"/>
          <w:kern w:val="0"/>
          <w:sz w:val="31"/>
          <w:szCs w:val="31"/>
          <w:lang w:eastAsia="zh-CN" w:bidi="ar"/>
        </w:rPr>
        <w:t>1</w:t>
      </w:r>
      <w:r>
        <w:rPr>
          <w:rFonts w:ascii="仿宋_GB2312" w:hAnsi="仿宋_GB2312" w:eastAsia="仿宋_GB2312" w:cs="仿宋_GB2312"/>
          <w:color w:val="000000"/>
          <w:kern w:val="0"/>
          <w:sz w:val="31"/>
          <w:szCs w:val="31"/>
          <w:lang w:val="en-US" w:eastAsia="zh-CN" w:bidi="ar"/>
        </w:rPr>
        <w:t>年实际在职人员</w:t>
      </w:r>
      <w:r>
        <w:rPr>
          <w:rFonts w:ascii="仿宋_GB2312" w:hAnsi="仿宋_GB2312" w:eastAsia="仿宋_GB2312" w:cs="仿宋_GB2312"/>
          <w:color w:val="000000"/>
          <w:kern w:val="0"/>
          <w:sz w:val="31"/>
          <w:szCs w:val="31"/>
          <w:lang w:eastAsia="zh-CN" w:bidi="ar"/>
        </w:rPr>
        <w:t>9</w:t>
      </w:r>
      <w:r>
        <w:rPr>
          <w:rFonts w:ascii="仿宋_GB2312" w:hAnsi="仿宋_GB2312" w:eastAsia="仿宋_GB2312" w:cs="仿宋_GB2312"/>
          <w:color w:val="000000"/>
          <w:kern w:val="0"/>
          <w:sz w:val="31"/>
          <w:szCs w:val="31"/>
          <w:lang w:val="en-US" w:eastAsia="zh-CN" w:bidi="ar"/>
        </w:rPr>
        <w:t>名，其中行政编制</w:t>
      </w:r>
      <w:r>
        <w:rPr>
          <w:rFonts w:ascii="仿宋_GB2312" w:hAnsi="仿宋_GB2312" w:eastAsia="仿宋_GB2312" w:cs="仿宋_GB2312"/>
          <w:color w:val="000000"/>
          <w:kern w:val="0"/>
          <w:sz w:val="31"/>
          <w:szCs w:val="31"/>
          <w:lang w:eastAsia="zh-CN" w:bidi="ar"/>
        </w:rPr>
        <w:t>7</w:t>
      </w:r>
      <w:r>
        <w:rPr>
          <w:rFonts w:ascii="仿宋_GB2312" w:hAnsi="仿宋_GB2312" w:eastAsia="仿宋_GB2312" w:cs="仿宋_GB2312"/>
          <w:color w:val="000000"/>
          <w:kern w:val="0"/>
          <w:sz w:val="31"/>
          <w:szCs w:val="31"/>
          <w:lang w:val="en-US" w:eastAsia="zh-CN" w:bidi="ar"/>
        </w:rPr>
        <w:t>名，工勤编制</w:t>
      </w:r>
      <w:r>
        <w:rPr>
          <w:rFonts w:ascii="仿宋_GB2312" w:hAnsi="仿宋_GB2312" w:eastAsia="仿宋_GB2312" w:cs="仿宋_GB2312"/>
          <w:color w:val="000000"/>
          <w:kern w:val="0"/>
          <w:sz w:val="31"/>
          <w:szCs w:val="31"/>
          <w:lang w:eastAsia="zh-CN" w:bidi="ar"/>
        </w:rPr>
        <w:t>2</w:t>
      </w:r>
      <w:r>
        <w:rPr>
          <w:rFonts w:ascii="仿宋_GB2312" w:hAnsi="仿宋_GB2312" w:eastAsia="仿宋_GB2312" w:cs="仿宋_GB2312"/>
          <w:color w:val="000000"/>
          <w:kern w:val="0"/>
          <w:sz w:val="31"/>
          <w:szCs w:val="31"/>
          <w:lang w:val="en-US" w:eastAsia="zh-CN" w:bidi="ar"/>
        </w:rPr>
        <w:t>名。</w:t>
      </w:r>
    </w:p>
    <w:p>
      <w:pPr>
        <w:keepNext w:val="0"/>
        <w:keepLines w:val="0"/>
        <w:pageBreakBefore w:val="0"/>
        <w:widowControl/>
        <w:kinsoku/>
        <w:wordWrap/>
        <w:overflowPunct/>
        <w:autoSpaceDE/>
        <w:autoSpaceDN/>
        <w:bidi w:val="0"/>
        <w:adjustRightInd w:val="0"/>
        <w:snapToGrid w:val="0"/>
        <w:spacing w:line="600" w:lineRule="exact"/>
        <w:ind w:firstLine="640" w:firstLineChars="200"/>
        <w:contextualSpacing/>
        <w:jc w:val="left"/>
        <w:outlineLvl w:val="0"/>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rPr>
        <w:t>二、部门财政资金收支情况</w:t>
      </w:r>
    </w:p>
    <w:p>
      <w:pPr>
        <w:keepNext w:val="0"/>
        <w:keepLines w:val="0"/>
        <w:pageBreakBefore w:val="0"/>
        <w:kinsoku/>
        <w:wordWrap/>
        <w:overflowPunct/>
        <w:autoSpaceDE/>
        <w:autoSpaceDN/>
        <w:bidi w:val="0"/>
        <w:spacing w:line="600" w:lineRule="exact"/>
        <w:ind w:firstLine="640" w:firstLineChars="200"/>
        <w:outlineLvl w:val="1"/>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lang w:eastAsia="zh-CN"/>
        </w:rPr>
        <w:t>（一）</w:t>
      </w:r>
      <w:r>
        <w:rPr>
          <w:rFonts w:hint="eastAsia" w:ascii="仿宋" w:hAnsi="仿宋" w:eastAsia="仿宋" w:cs="仿宋"/>
          <w:sz w:val="32"/>
          <w:szCs w:val="32"/>
          <w:shd w:val="clear" w:color="auto" w:fill="FFFFFF"/>
        </w:rPr>
        <w:t>部门财政资金收入情况。</w:t>
      </w:r>
    </w:p>
    <w:p>
      <w:pPr>
        <w:keepNext w:val="0"/>
        <w:keepLines w:val="0"/>
        <w:pageBreakBefore w:val="0"/>
        <w:kinsoku/>
        <w:wordWrap/>
        <w:overflowPunct/>
        <w:autoSpaceDE/>
        <w:autoSpaceDN/>
        <w:bidi w:val="0"/>
        <w:spacing w:line="600" w:lineRule="exact"/>
        <w:ind w:firstLine="640" w:firstLineChars="200"/>
        <w:rPr>
          <w:rFonts w:hint="eastAsia" w:ascii="仿宋" w:hAnsi="仿宋" w:eastAsia="仿宋" w:cs="仿宋"/>
          <w:sz w:val="32"/>
          <w:szCs w:val="32"/>
          <w:lang w:val="zh-CN"/>
        </w:rPr>
      </w:pPr>
      <w:r>
        <w:rPr>
          <w:rFonts w:hint="eastAsia" w:ascii="仿宋" w:hAnsi="仿宋" w:eastAsia="仿宋" w:cs="仿宋"/>
          <w:color w:val="000000"/>
          <w:sz w:val="32"/>
          <w:szCs w:val="32"/>
        </w:rPr>
        <w:t>20</w:t>
      </w:r>
      <w:r>
        <w:rPr>
          <w:rFonts w:hint="eastAsia" w:ascii="仿宋" w:hAnsi="仿宋" w:eastAsia="仿宋" w:cs="仿宋"/>
          <w:color w:val="000000"/>
          <w:sz w:val="32"/>
          <w:szCs w:val="32"/>
          <w:lang w:val="en-US" w:eastAsia="zh-CN"/>
        </w:rPr>
        <w:t>21</w:t>
      </w:r>
      <w:r>
        <w:rPr>
          <w:rFonts w:hint="eastAsia" w:ascii="仿宋" w:hAnsi="仿宋" w:eastAsia="仿宋" w:cs="仿宋"/>
          <w:color w:val="000000"/>
          <w:sz w:val="32"/>
          <w:szCs w:val="32"/>
        </w:rPr>
        <w:t>年</w:t>
      </w:r>
      <w:r>
        <w:rPr>
          <w:rFonts w:hint="eastAsia" w:ascii="仿宋" w:hAnsi="仿宋" w:eastAsia="仿宋" w:cs="仿宋"/>
          <w:color w:val="000000"/>
          <w:sz w:val="32"/>
          <w:szCs w:val="32"/>
          <w:lang w:eastAsia="zh-CN"/>
        </w:rPr>
        <w:t>区</w:t>
      </w:r>
      <w:r>
        <w:rPr>
          <w:rFonts w:hint="default" w:ascii="仿宋" w:hAnsi="仿宋" w:eastAsia="仿宋" w:cs="仿宋"/>
          <w:sz w:val="32"/>
          <w:szCs w:val="32"/>
          <w:lang w:eastAsia="zh-CN"/>
        </w:rPr>
        <w:t>文体旅局</w:t>
      </w:r>
      <w:r>
        <w:rPr>
          <w:rFonts w:hint="eastAsia" w:ascii="仿宋" w:hAnsi="仿宋" w:eastAsia="仿宋" w:cs="仿宋"/>
          <w:color w:val="000000"/>
          <w:sz w:val="32"/>
          <w:szCs w:val="32"/>
        </w:rPr>
        <w:t>财政拨款收入为</w:t>
      </w:r>
      <w:r>
        <w:rPr>
          <w:rFonts w:hint="default" w:ascii="仿宋" w:hAnsi="仿宋" w:eastAsia="仿宋" w:cs="仿宋"/>
          <w:color w:val="000000"/>
          <w:sz w:val="32"/>
          <w:szCs w:val="32"/>
          <w:lang w:eastAsia="zh-CN"/>
        </w:rPr>
        <w:t>721.71</w:t>
      </w:r>
      <w:r>
        <w:rPr>
          <w:rFonts w:hint="eastAsia" w:ascii="仿宋" w:hAnsi="仿宋" w:eastAsia="仿宋" w:cs="仿宋"/>
          <w:color w:val="000000"/>
          <w:sz w:val="32"/>
          <w:szCs w:val="32"/>
        </w:rPr>
        <w:t>万元，其中：一般公共预算财政拨款</w:t>
      </w:r>
      <w:r>
        <w:rPr>
          <w:rFonts w:hint="default" w:ascii="仿宋" w:hAnsi="仿宋" w:eastAsia="仿宋" w:cs="仿宋"/>
          <w:color w:val="000000"/>
          <w:sz w:val="32"/>
          <w:szCs w:val="32"/>
          <w:lang w:eastAsia="zh-CN"/>
        </w:rPr>
        <w:t>477.72</w:t>
      </w:r>
      <w:r>
        <w:rPr>
          <w:rFonts w:hint="eastAsia" w:ascii="仿宋" w:hAnsi="仿宋" w:eastAsia="仿宋" w:cs="仿宋"/>
          <w:color w:val="000000"/>
          <w:sz w:val="32"/>
          <w:szCs w:val="32"/>
        </w:rPr>
        <w:t>万元；政府性基金预算财政拨款</w:t>
      </w:r>
      <w:r>
        <w:rPr>
          <w:rFonts w:hint="default" w:ascii="仿宋" w:hAnsi="仿宋" w:eastAsia="仿宋" w:cs="仿宋"/>
          <w:color w:val="000000"/>
          <w:sz w:val="32"/>
          <w:szCs w:val="32"/>
          <w:lang w:eastAsia="zh-CN"/>
        </w:rPr>
        <w:t>243.99</w:t>
      </w:r>
      <w:r>
        <w:rPr>
          <w:rFonts w:hint="eastAsia" w:ascii="仿宋" w:hAnsi="仿宋" w:eastAsia="仿宋" w:cs="仿宋"/>
          <w:color w:val="000000"/>
          <w:sz w:val="32"/>
          <w:szCs w:val="32"/>
        </w:rPr>
        <w:t>万元。</w:t>
      </w:r>
    </w:p>
    <w:p>
      <w:pPr>
        <w:keepNext w:val="0"/>
        <w:keepLines w:val="0"/>
        <w:pageBreakBefore w:val="0"/>
        <w:widowControl/>
        <w:numPr>
          <w:ilvl w:val="0"/>
          <w:numId w:val="2"/>
        </w:numPr>
        <w:kinsoku/>
        <w:wordWrap/>
        <w:overflowPunct/>
        <w:autoSpaceDE/>
        <w:autoSpaceDN/>
        <w:bidi w:val="0"/>
        <w:adjustRightInd w:val="0"/>
        <w:snapToGrid w:val="0"/>
        <w:spacing w:line="600" w:lineRule="exact"/>
        <w:ind w:firstLine="640" w:firstLineChars="200"/>
        <w:contextualSpacing/>
        <w:jc w:val="left"/>
        <w:outlineLvl w:val="1"/>
        <w:rPr>
          <w:rFonts w:hint="eastAsia" w:ascii="仿宋" w:hAnsi="仿宋" w:eastAsia="仿宋" w:cs="仿宋"/>
          <w:color w:val="000000"/>
          <w:kern w:val="0"/>
          <w:sz w:val="32"/>
          <w:szCs w:val="32"/>
          <w:shd w:val="clear" w:color="auto" w:fill="FFFFFF"/>
          <w:lang w:val="zh-CN"/>
        </w:rPr>
      </w:pPr>
      <w:bookmarkStart w:id="0" w:name="_Toc8919_WPSOffice_Level3"/>
      <w:r>
        <w:rPr>
          <w:rFonts w:hint="eastAsia" w:ascii="仿宋" w:hAnsi="仿宋" w:eastAsia="仿宋" w:cs="仿宋"/>
          <w:color w:val="000000"/>
          <w:kern w:val="0"/>
          <w:sz w:val="32"/>
          <w:szCs w:val="32"/>
          <w:shd w:val="clear" w:color="auto" w:fill="FFFFFF"/>
          <w:lang w:val="zh-CN"/>
        </w:rPr>
        <w:t>部门财政资金支出情况。</w:t>
      </w:r>
      <w:bookmarkEnd w:id="0"/>
    </w:p>
    <w:p>
      <w:pPr>
        <w:pStyle w:val="4"/>
        <w:keepNext w:val="0"/>
        <w:keepLines w:val="0"/>
        <w:pageBreakBefore w:val="0"/>
        <w:kinsoku/>
        <w:wordWrap/>
        <w:overflowPunct/>
        <w:autoSpaceDE/>
        <w:autoSpaceDN/>
        <w:bidi w:val="0"/>
        <w:spacing w:line="600" w:lineRule="exact"/>
        <w:ind w:firstLine="640" w:firstLineChars="200"/>
        <w:rPr>
          <w:rFonts w:hint="eastAsia" w:ascii="仿宋" w:hAnsi="仿宋" w:eastAsia="仿宋" w:cs="仿宋"/>
          <w:sz w:val="32"/>
          <w:szCs w:val="32"/>
          <w:lang w:val="zh-CN"/>
        </w:rPr>
      </w:pPr>
      <w:r>
        <w:rPr>
          <w:rFonts w:hint="eastAsia" w:ascii="仿宋" w:hAnsi="仿宋" w:eastAsia="仿宋" w:cs="仿宋"/>
          <w:color w:val="000000"/>
          <w:sz w:val="32"/>
          <w:szCs w:val="32"/>
        </w:rPr>
        <w:t>20</w:t>
      </w:r>
      <w:r>
        <w:rPr>
          <w:rFonts w:hint="eastAsia" w:ascii="仿宋" w:hAnsi="仿宋" w:eastAsia="仿宋" w:cs="仿宋"/>
          <w:color w:val="000000"/>
          <w:sz w:val="32"/>
          <w:szCs w:val="32"/>
          <w:lang w:val="en-US" w:eastAsia="zh-CN"/>
        </w:rPr>
        <w:t>21</w:t>
      </w:r>
      <w:r>
        <w:rPr>
          <w:rFonts w:hint="eastAsia" w:ascii="仿宋" w:hAnsi="仿宋" w:eastAsia="仿宋" w:cs="仿宋"/>
          <w:color w:val="000000"/>
          <w:sz w:val="32"/>
          <w:szCs w:val="32"/>
        </w:rPr>
        <w:t>年</w:t>
      </w:r>
      <w:r>
        <w:rPr>
          <w:rFonts w:hint="eastAsia" w:ascii="仿宋" w:hAnsi="仿宋" w:eastAsia="仿宋" w:cs="仿宋"/>
          <w:color w:val="000000"/>
          <w:sz w:val="32"/>
          <w:szCs w:val="32"/>
          <w:lang w:eastAsia="zh-CN"/>
        </w:rPr>
        <w:t>区</w:t>
      </w:r>
      <w:r>
        <w:rPr>
          <w:rFonts w:hint="eastAsia" w:ascii="仿宋" w:hAnsi="仿宋" w:eastAsia="仿宋" w:cs="仿宋"/>
          <w:sz w:val="32"/>
          <w:szCs w:val="32"/>
          <w:lang w:eastAsia="zh-CN"/>
        </w:rPr>
        <w:t>文体旅局</w:t>
      </w:r>
      <w:r>
        <w:rPr>
          <w:rFonts w:hint="eastAsia" w:ascii="仿宋" w:hAnsi="仿宋" w:eastAsia="仿宋" w:cs="仿宋"/>
          <w:color w:val="000000"/>
          <w:sz w:val="32"/>
          <w:szCs w:val="32"/>
        </w:rPr>
        <w:t>财政拨款支出为</w:t>
      </w:r>
      <w:r>
        <w:rPr>
          <w:rFonts w:hint="default" w:ascii="仿宋" w:hAnsi="仿宋" w:eastAsia="仿宋" w:cs="仿宋"/>
          <w:color w:val="000000"/>
          <w:sz w:val="32"/>
          <w:szCs w:val="32"/>
          <w:lang w:eastAsia="zh-CN"/>
        </w:rPr>
        <w:t>1106.38</w:t>
      </w:r>
      <w:r>
        <w:rPr>
          <w:rFonts w:hint="eastAsia" w:ascii="仿宋" w:hAnsi="仿宋" w:eastAsia="仿宋" w:cs="仿宋"/>
          <w:color w:val="000000"/>
          <w:sz w:val="32"/>
          <w:szCs w:val="32"/>
        </w:rPr>
        <w:t>万元，其中：基本支出</w:t>
      </w:r>
      <w:r>
        <w:rPr>
          <w:rFonts w:hint="default" w:ascii="仿宋" w:hAnsi="仿宋" w:eastAsia="仿宋" w:cs="仿宋"/>
          <w:color w:val="000000"/>
          <w:sz w:val="32"/>
          <w:szCs w:val="32"/>
          <w:lang w:eastAsia="zh-CN"/>
        </w:rPr>
        <w:t>226.53</w:t>
      </w:r>
      <w:r>
        <w:rPr>
          <w:rFonts w:hint="eastAsia" w:ascii="仿宋" w:hAnsi="仿宋" w:eastAsia="仿宋" w:cs="仿宋"/>
          <w:color w:val="000000"/>
          <w:sz w:val="32"/>
          <w:szCs w:val="32"/>
        </w:rPr>
        <w:t>万元，项目支出</w:t>
      </w:r>
      <w:r>
        <w:rPr>
          <w:rFonts w:hint="default" w:ascii="仿宋" w:hAnsi="仿宋" w:eastAsia="仿宋" w:cs="仿宋"/>
          <w:color w:val="000000"/>
          <w:sz w:val="32"/>
          <w:szCs w:val="32"/>
          <w:lang w:eastAsia="zh-CN"/>
        </w:rPr>
        <w:t>879.85</w:t>
      </w:r>
      <w:r>
        <w:rPr>
          <w:rFonts w:hint="eastAsia" w:ascii="仿宋" w:hAnsi="仿宋" w:eastAsia="仿宋" w:cs="仿宋"/>
          <w:color w:val="000000"/>
          <w:sz w:val="32"/>
          <w:szCs w:val="32"/>
        </w:rPr>
        <w:t>万元。</w:t>
      </w:r>
    </w:p>
    <w:p>
      <w:pPr>
        <w:keepNext w:val="0"/>
        <w:keepLines w:val="0"/>
        <w:pageBreakBefore w:val="0"/>
        <w:widowControl/>
        <w:kinsoku/>
        <w:wordWrap/>
        <w:overflowPunct/>
        <w:autoSpaceDE/>
        <w:autoSpaceDN/>
        <w:bidi w:val="0"/>
        <w:adjustRightInd w:val="0"/>
        <w:snapToGrid w:val="0"/>
        <w:spacing w:line="600" w:lineRule="exact"/>
        <w:ind w:firstLine="640" w:firstLineChars="200"/>
        <w:contextualSpacing/>
        <w:jc w:val="left"/>
        <w:outlineLvl w:val="0"/>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rPr>
        <w:t>三、部门整体预算绩效管理情况</w:t>
      </w:r>
    </w:p>
    <w:p>
      <w:pPr>
        <w:keepNext w:val="0"/>
        <w:keepLines w:val="0"/>
        <w:pageBreakBefore w:val="0"/>
        <w:widowControl/>
        <w:kinsoku/>
        <w:wordWrap/>
        <w:overflowPunct/>
        <w:autoSpaceDE/>
        <w:autoSpaceDN/>
        <w:bidi w:val="0"/>
        <w:adjustRightInd w:val="0"/>
        <w:snapToGrid w:val="0"/>
        <w:spacing w:line="600" w:lineRule="exact"/>
        <w:ind w:firstLine="640" w:firstLineChars="200"/>
        <w:contextualSpacing/>
        <w:jc w:val="left"/>
        <w:outlineLvl w:val="1"/>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（一）部门预算管理。</w:t>
      </w:r>
    </w:p>
    <w:p>
      <w:pPr>
        <w:pStyle w:val="21"/>
        <w:keepNext w:val="0"/>
        <w:keepLines w:val="0"/>
        <w:pageBreakBefore w:val="0"/>
        <w:kinsoku/>
        <w:wordWrap/>
        <w:overflowPunct/>
        <w:autoSpaceDE/>
        <w:autoSpaceDN/>
        <w:bidi w:val="0"/>
        <w:spacing w:line="600" w:lineRule="exact"/>
        <w:ind w:firstLine="640" w:firstLineChars="200"/>
        <w:rPr>
          <w:rFonts w:hint="eastAsia" w:ascii="仿宋" w:hAnsi="仿宋" w:eastAsia="仿宋" w:cs="仿宋"/>
          <w:sz w:val="32"/>
          <w:szCs w:val="32"/>
          <w:shd w:val="clear" w:color="auto" w:fill="FFFFFF"/>
          <w:lang w:val="zh-CN"/>
        </w:rPr>
      </w:pPr>
      <w:r>
        <w:rPr>
          <w:rFonts w:hint="eastAsia" w:ascii="仿宋" w:hAnsi="仿宋" w:eastAsia="仿宋" w:cs="仿宋"/>
          <w:sz w:val="32"/>
          <w:szCs w:val="32"/>
          <w:lang w:val="zh-CN"/>
        </w:rPr>
        <w:t>严格按照区部门预算编制通知和相关要求，按时完成预算编制工作，20</w:t>
      </w:r>
      <w:r>
        <w:rPr>
          <w:rFonts w:hint="eastAsia" w:ascii="仿宋" w:hAnsi="仿宋" w:eastAsia="仿宋" w:cs="仿宋"/>
          <w:sz w:val="32"/>
          <w:szCs w:val="32"/>
          <w:lang w:val="en-US" w:eastAsia="zh-CN"/>
        </w:rPr>
        <w:t>21</w:t>
      </w:r>
      <w:r>
        <w:rPr>
          <w:rFonts w:hint="eastAsia" w:ascii="仿宋" w:hAnsi="仿宋" w:eastAsia="仿宋" w:cs="仿宋"/>
          <w:sz w:val="32"/>
          <w:szCs w:val="32"/>
          <w:lang w:val="zh-CN"/>
        </w:rPr>
        <w:t>年部门决算填报、绩效目标严格按照区财政局的要求完成。</w:t>
      </w:r>
    </w:p>
    <w:p>
      <w:pPr>
        <w:pStyle w:val="20"/>
        <w:keepNext w:val="0"/>
        <w:keepLines w:val="0"/>
        <w:pageBreakBefore w:val="0"/>
        <w:numPr>
          <w:ilvl w:val="0"/>
          <w:numId w:val="0"/>
        </w:numPr>
        <w:kinsoku/>
        <w:wordWrap/>
        <w:overflowPunct/>
        <w:autoSpaceDE/>
        <w:autoSpaceDN/>
        <w:bidi w:val="0"/>
        <w:spacing w:line="600" w:lineRule="exact"/>
        <w:ind w:left="640" w:leftChars="0" w:firstLine="640" w:firstLineChars="200"/>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lang w:eastAsia="zh-CN"/>
        </w:rPr>
        <w:t>（二）</w:t>
      </w:r>
      <w:r>
        <w:rPr>
          <w:rFonts w:hint="eastAsia" w:ascii="仿宋" w:hAnsi="仿宋" w:eastAsia="仿宋" w:cs="仿宋"/>
          <w:sz w:val="32"/>
          <w:szCs w:val="32"/>
          <w:shd w:val="clear" w:color="auto" w:fill="FFFFFF"/>
        </w:rPr>
        <w:t>执行管理情况。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财政拨款安排支出主要用于保障单位正常运转、完成日常工作任务及相关工作，人员经费和公用经费每月财政通过均衡预算安排支付；基本支出包括工资福利支出、商品和服务支出以及对个人和家庭的补助，项目支出用于保障单位为完成特定的行政工作任务或专项业务工作的经费支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sz w:val="32"/>
          <w:szCs w:val="32"/>
          <w:shd w:val="clear" w:color="auto" w:fill="FFFFFF"/>
          <w:lang w:val="zh-CN"/>
        </w:rPr>
      </w:pPr>
      <w:r>
        <w:rPr>
          <w:rFonts w:hint="eastAsia" w:ascii="仿宋" w:hAnsi="仿宋" w:eastAsia="仿宋" w:cs="仿宋"/>
          <w:sz w:val="32"/>
          <w:szCs w:val="32"/>
          <w:lang w:val="zh-CN"/>
        </w:rPr>
        <w:t>我单位认真贯彻落实区财政相关规定，厉行节约，严格控制因公出国（境）费用、会议费、车辆购置及运行费用和公务接待经费，因公出国（境）费用0万元，公务接待费</w:t>
      </w:r>
      <w:r>
        <w:rPr>
          <w:rFonts w:hint="default" w:ascii="仿宋" w:hAnsi="仿宋" w:eastAsia="仿宋" w:cs="仿宋"/>
          <w:sz w:val="32"/>
          <w:szCs w:val="32"/>
          <w:lang w:eastAsia="zh-CN"/>
        </w:rPr>
        <w:t>2.83</w:t>
      </w:r>
      <w:r>
        <w:rPr>
          <w:rFonts w:hint="eastAsia" w:ascii="仿宋" w:hAnsi="仿宋" w:eastAsia="仿宋" w:cs="仿宋"/>
          <w:sz w:val="32"/>
          <w:szCs w:val="32"/>
          <w:lang w:val="zh-CN"/>
        </w:rPr>
        <w:t>万元，公务用车运行维护费</w:t>
      </w:r>
      <w:r>
        <w:rPr>
          <w:rFonts w:hint="default" w:ascii="仿宋" w:hAnsi="仿宋" w:eastAsia="仿宋" w:cs="仿宋"/>
          <w:sz w:val="32"/>
          <w:szCs w:val="32"/>
          <w:lang w:eastAsia="zh-CN"/>
        </w:rPr>
        <w:t>2.6</w:t>
      </w:r>
      <w:r>
        <w:rPr>
          <w:rFonts w:hint="eastAsia" w:ascii="仿宋" w:hAnsi="仿宋" w:eastAsia="仿宋" w:cs="仿宋"/>
          <w:sz w:val="32"/>
          <w:szCs w:val="32"/>
          <w:lang w:val="zh-CN"/>
        </w:rPr>
        <w:t>万元。</w:t>
      </w:r>
    </w:p>
    <w:p>
      <w:pPr>
        <w:pStyle w:val="20"/>
        <w:keepNext w:val="0"/>
        <w:keepLines w:val="0"/>
        <w:pageBreakBefore w:val="0"/>
        <w:numPr>
          <w:ilvl w:val="0"/>
          <w:numId w:val="0"/>
        </w:numPr>
        <w:kinsoku/>
        <w:wordWrap/>
        <w:overflowPunct/>
        <w:autoSpaceDE/>
        <w:autoSpaceDN/>
        <w:bidi w:val="0"/>
        <w:spacing w:line="600" w:lineRule="exact"/>
        <w:ind w:left="640" w:leftChars="0" w:firstLine="640" w:firstLineChars="200"/>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lang w:eastAsia="zh-CN"/>
        </w:rPr>
        <w:t>（三）</w:t>
      </w:r>
      <w:r>
        <w:rPr>
          <w:rFonts w:hint="eastAsia" w:ascii="仿宋" w:hAnsi="仿宋" w:eastAsia="仿宋" w:cs="仿宋"/>
          <w:sz w:val="32"/>
          <w:szCs w:val="32"/>
          <w:shd w:val="clear" w:color="auto" w:fill="FFFFFF"/>
        </w:rPr>
        <w:t>综合管理情况。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zh-CN"/>
        </w:rPr>
        <w:t>我单位财务管理规范，严格按照《会计法》、《行政单位会计制度》的规定，依法设置会计账簿，并保证其真实性、完整性，根据本单位实际发生的各项业务事项依法进行会计核算、填制会计凭证、登记会计账簿、编制财务会计报表。</w:t>
      </w:r>
      <w:r>
        <w:rPr>
          <w:rFonts w:hint="eastAsia" w:ascii="仿宋" w:hAnsi="仿宋" w:eastAsia="仿宋" w:cs="仿宋"/>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sz w:val="32"/>
          <w:szCs w:val="32"/>
          <w:lang w:val="zh-CN"/>
        </w:rPr>
      </w:pPr>
      <w:r>
        <w:rPr>
          <w:rFonts w:hint="eastAsia" w:ascii="仿宋" w:hAnsi="仿宋" w:eastAsia="仿宋" w:cs="仿宋"/>
          <w:sz w:val="32"/>
          <w:szCs w:val="32"/>
        </w:rPr>
        <w:t>我</w:t>
      </w:r>
      <w:r>
        <w:rPr>
          <w:rFonts w:hint="eastAsia" w:ascii="仿宋" w:hAnsi="仿宋" w:eastAsia="仿宋" w:cs="仿宋"/>
          <w:sz w:val="32"/>
          <w:szCs w:val="32"/>
          <w:lang w:eastAsia="zh-CN"/>
        </w:rPr>
        <w:t>单位</w:t>
      </w:r>
      <w:r>
        <w:rPr>
          <w:rFonts w:hint="eastAsia" w:ascii="仿宋" w:hAnsi="仿宋" w:eastAsia="仿宋" w:cs="仿宋"/>
          <w:sz w:val="32"/>
          <w:szCs w:val="32"/>
        </w:rPr>
        <w:t>20</w:t>
      </w:r>
      <w:r>
        <w:rPr>
          <w:rFonts w:hint="eastAsia" w:ascii="仿宋" w:hAnsi="仿宋" w:eastAsia="仿宋" w:cs="仿宋"/>
          <w:sz w:val="32"/>
          <w:szCs w:val="32"/>
          <w:lang w:val="en-US" w:eastAsia="zh-CN"/>
        </w:rPr>
        <w:t>21</w:t>
      </w:r>
      <w:r>
        <w:rPr>
          <w:rFonts w:hint="default" w:ascii="仿宋" w:hAnsi="仿宋" w:eastAsia="仿宋" w:cs="仿宋"/>
          <w:sz w:val="32"/>
          <w:szCs w:val="32"/>
        </w:rPr>
        <w:t>无</w:t>
      </w:r>
      <w:r>
        <w:rPr>
          <w:rFonts w:hint="eastAsia" w:ascii="仿宋" w:hAnsi="仿宋" w:eastAsia="仿宋" w:cs="仿宋"/>
          <w:sz w:val="32"/>
          <w:szCs w:val="32"/>
        </w:rPr>
        <w:t>非税收入。</w:t>
      </w:r>
      <w:r>
        <w:rPr>
          <w:rFonts w:hint="eastAsia" w:ascii="仿宋" w:hAnsi="仿宋" w:eastAsia="仿宋" w:cs="仿宋"/>
          <w:sz w:val="32"/>
          <w:szCs w:val="32"/>
          <w:lang w:val="zh-CN"/>
        </w:rPr>
        <w:t>严格按照政府采购有关规定，政府采购目录内的货物与服务全部按要求实施了政府采购，确保了支出管理流程、审批手续的完整；按时完成资产管理信息系统资产清查和上报；内部控制制度健全完整;预决算信息按时公开；单位工作都依法接受财政监督。</w:t>
      </w:r>
    </w:p>
    <w:p>
      <w:pPr>
        <w:pStyle w:val="20"/>
        <w:keepNext w:val="0"/>
        <w:keepLines w:val="0"/>
        <w:pageBreakBefore w:val="0"/>
        <w:widowControl w:val="0"/>
        <w:kinsoku/>
        <w:wordWrap/>
        <w:overflowPunct/>
        <w:topLinePunct w:val="0"/>
        <w:autoSpaceDE/>
        <w:autoSpaceDN/>
        <w:bidi w:val="0"/>
        <w:adjustRightInd/>
        <w:snapToGrid/>
        <w:spacing w:line="600" w:lineRule="exact"/>
        <w:ind w:left="5"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shd w:val="clear" w:color="auto" w:fill="FFFFFF"/>
        </w:rPr>
        <w:t>整体绩效。</w:t>
      </w:r>
    </w:p>
    <w:p>
      <w:pPr>
        <w:keepNext w:val="0"/>
        <w:keepLines w:val="0"/>
        <w:pageBreakBefore w:val="0"/>
        <w:kinsoku/>
        <w:wordWrap/>
        <w:overflowPunct/>
        <w:topLinePunct w:val="0"/>
        <w:autoSpaceDE/>
        <w:autoSpaceDN/>
        <w:bidi w:val="0"/>
        <w:adjustRightInd/>
        <w:spacing w:line="600" w:lineRule="exact"/>
        <w:ind w:firstLine="640" w:firstLineChars="200"/>
        <w:jc w:val="left"/>
        <w:rPr>
          <w:rFonts w:ascii="仿宋_GB2312" w:hAnsi="仿宋" w:eastAsia="仿宋_GB2312"/>
          <w:color w:val="000000"/>
          <w:sz w:val="32"/>
          <w:szCs w:val="32"/>
        </w:rPr>
      </w:pPr>
      <w:r>
        <w:rPr>
          <w:rFonts w:hint="eastAsia" w:ascii="仿宋_GB2312" w:hAnsi="仿宋" w:eastAsia="仿宋_GB2312"/>
          <w:color w:val="000000"/>
          <w:sz w:val="32"/>
          <w:szCs w:val="32"/>
        </w:rPr>
        <w:t>2021年以来，我局</w:t>
      </w:r>
      <w:r>
        <w:rPr>
          <w:rFonts w:hint="eastAsia" w:ascii="仿宋_GB2312" w:hAnsi="仿宋" w:eastAsia="仿宋_GB2312"/>
          <w:color w:val="000000"/>
          <w:sz w:val="32"/>
          <w:szCs w:val="32"/>
          <w:lang w:eastAsia="zh-CN"/>
        </w:rPr>
        <w:t>坚定“工旅融合发展示范区”战略定位，紧扣</w:t>
      </w:r>
      <w:r>
        <w:rPr>
          <w:rFonts w:hint="eastAsia" w:ascii="仿宋_GB2312" w:hAnsi="仿宋" w:eastAsia="仿宋_GB2312"/>
          <w:color w:val="000000"/>
          <w:sz w:val="32"/>
          <w:szCs w:val="32"/>
        </w:rPr>
        <w:t>“</w:t>
      </w:r>
      <w:r>
        <w:rPr>
          <w:rFonts w:hint="eastAsia" w:ascii="仿宋_GB2312" w:hAnsi="仿宋" w:eastAsia="仿宋_GB2312"/>
          <w:color w:val="000000"/>
          <w:sz w:val="32"/>
          <w:szCs w:val="32"/>
          <w:lang w:eastAsia="zh-CN"/>
        </w:rPr>
        <w:t>农旅兴区、工业强区</w:t>
      </w:r>
      <w:r>
        <w:rPr>
          <w:rFonts w:hint="eastAsia" w:ascii="仿宋_GB2312" w:hAnsi="仿宋" w:eastAsia="仿宋_GB2312"/>
          <w:color w:val="000000"/>
          <w:sz w:val="32"/>
          <w:szCs w:val="32"/>
        </w:rPr>
        <w:t>”的发展主线，坚持改革创新，突出转型升级、融合发展，文化</w:t>
      </w:r>
      <w:r>
        <w:rPr>
          <w:rFonts w:hint="eastAsia" w:ascii="仿宋_GB2312" w:hAnsi="仿宋_GB2312" w:eastAsia="仿宋_GB2312" w:cs="仿宋_GB2312"/>
          <w:color w:val="000000"/>
          <w:sz w:val="32"/>
          <w:szCs w:val="32"/>
        </w:rPr>
        <w:t>旅游市场秩序井然、安全形势稳定，截止目前，未接到一起重大涉旅投诉，未发生一起行业安全事故。</w:t>
      </w:r>
      <w:r>
        <w:rPr>
          <w:rFonts w:hint="eastAsia" w:ascii="仿宋_GB2312" w:hAnsi="仿宋_GB2312" w:eastAsia="仿宋_GB2312" w:cs="仿宋_GB2312"/>
          <w:color w:val="000000"/>
          <w:sz w:val="32"/>
          <w:szCs w:val="32"/>
          <w:lang w:val="en-US" w:eastAsia="zh-CN"/>
        </w:rPr>
        <w:t>全年重大节假日期间接待游客89.14万人次，实现旅游综合收入6.306亿元。</w:t>
      </w:r>
      <w:r>
        <w:rPr>
          <w:rFonts w:hint="eastAsia" w:ascii="仿宋_GB2312" w:hAnsi="仿宋_GB2312" w:eastAsia="仿宋_GB2312" w:cs="仿宋_GB2312"/>
          <w:color w:val="000000"/>
          <w:sz w:val="32"/>
          <w:szCs w:val="32"/>
        </w:rPr>
        <w:t>现将我局</w:t>
      </w:r>
      <w:r>
        <w:rPr>
          <w:rFonts w:hint="eastAsia" w:ascii="仿宋_GB2312" w:hAnsi="仿宋_GB2312" w:eastAsia="仿宋_GB2312" w:cs="仿宋_GB2312"/>
          <w:color w:val="000000"/>
          <w:sz w:val="32"/>
          <w:szCs w:val="32"/>
          <w:lang w:val="en-US" w:eastAsia="zh-CN"/>
        </w:rPr>
        <w:t>2021</w:t>
      </w:r>
      <w:r>
        <w:rPr>
          <w:rFonts w:hint="eastAsia" w:ascii="仿宋_GB2312" w:hAnsi="仿宋_GB2312" w:eastAsia="仿宋_GB2312" w:cs="仿宋_GB2312"/>
          <w:color w:val="000000"/>
          <w:sz w:val="32"/>
          <w:szCs w:val="32"/>
        </w:rPr>
        <w:t>年工作总结如下：</w:t>
      </w:r>
    </w:p>
    <w:p>
      <w:pPr>
        <w:keepNext w:val="0"/>
        <w:keepLines w:val="0"/>
        <w:pageBreakBefore w:val="0"/>
        <w:kinsoku/>
        <w:wordWrap/>
        <w:overflowPunct/>
        <w:topLinePunct w:val="0"/>
        <w:autoSpaceDE/>
        <w:autoSpaceDN/>
        <w:bidi w:val="0"/>
        <w:adjustRightInd/>
        <w:spacing w:line="600" w:lineRule="exact"/>
        <w:ind w:firstLine="640" w:firstLineChars="200"/>
        <w:outlineLvl w:val="0"/>
        <w:rPr>
          <w:rFonts w:hint="eastAsia" w:ascii="黑体" w:hAnsi="仿宋" w:eastAsia="黑体"/>
          <w:color w:val="000000"/>
          <w:sz w:val="32"/>
          <w:szCs w:val="32"/>
        </w:rPr>
      </w:pPr>
      <w:r>
        <w:rPr>
          <w:rFonts w:hint="eastAsia" w:ascii="黑体" w:hAnsi="仿宋" w:eastAsia="黑体"/>
          <w:color w:val="000000"/>
          <w:sz w:val="32"/>
          <w:szCs w:val="32"/>
        </w:rPr>
        <w:t>一、工作情况</w:t>
      </w:r>
    </w:p>
    <w:p>
      <w:pPr>
        <w:keepNext w:val="0"/>
        <w:keepLines w:val="0"/>
        <w:pageBreakBefore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pacing w:line="600" w:lineRule="exact"/>
        <w:ind w:firstLine="640" w:firstLineChars="200"/>
        <w:outlineLvl w:val="1"/>
        <w:rPr>
          <w:rFonts w:hint="eastAsia" w:ascii="楷体_GB2312" w:hAnsi="楷体_GB2312" w:eastAsia="楷体_GB2312" w:cs="楷体_GB2312"/>
          <w:bCs/>
          <w:color w:val="000000"/>
          <w:sz w:val="32"/>
          <w:szCs w:val="32"/>
        </w:rPr>
      </w:pPr>
      <w:r>
        <w:rPr>
          <w:rFonts w:hint="eastAsia" w:ascii="楷体_GB2312" w:hAnsi="楷体_GB2312" w:eastAsia="楷体_GB2312" w:cs="楷体_GB2312"/>
          <w:bCs/>
          <w:color w:val="000000"/>
          <w:sz w:val="32"/>
          <w:szCs w:val="32"/>
        </w:rPr>
        <w:t>（一）狠抓园区建设</w:t>
      </w:r>
    </w:p>
    <w:p>
      <w:pPr>
        <w:keepNext w:val="0"/>
        <w:keepLines w:val="0"/>
        <w:pageBreakBefore w:val="0"/>
        <w:kinsoku/>
        <w:wordWrap/>
        <w:overflowPunct/>
        <w:topLinePunct w:val="0"/>
        <w:autoSpaceDE/>
        <w:autoSpaceDN/>
        <w:bidi w:val="0"/>
        <w:adjustRightInd/>
        <w:snapToGrid/>
        <w:spacing w:beforeAutospacing="0" w:afterAutospacing="0" w:line="600" w:lineRule="exact"/>
        <w:ind w:left="0" w:firstLine="640" w:firstLineChars="200"/>
        <w:jc w:val="both"/>
        <w:textAlignment w:val="baseline"/>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积极主动与省市文旅“十四五”规划对接，通过 2021 年的集中攻坚和“十四五”期间的全域推进，提出了“一核两带四园”的发展思路，最终形成以传承和弘扬沫若文化为核心，建设峨沙康养旅游产业带与大渡河研学旅游产业带，做响沫若文化产业园、做优大渡河中医药产业园区、做强大渡河研学旅游产业园区、做大峨眉山南森林康养产业园区4个文旅融合产业园区，作为全区文旅产业发展的重要引擎。</w:t>
      </w:r>
    </w:p>
    <w:p>
      <w:pPr>
        <w:keepNext w:val="0"/>
        <w:keepLines w:val="0"/>
        <w:pageBreakBefore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pacing w:line="600" w:lineRule="exact"/>
        <w:ind w:firstLine="640" w:firstLineChars="200"/>
        <w:outlineLvl w:val="1"/>
        <w:rPr>
          <w:rFonts w:hint="eastAsia" w:ascii="楷体_GB2312" w:hAnsi="楷体_GB2312" w:eastAsia="楷体_GB2312" w:cs="楷体_GB2312"/>
          <w:color w:val="000000"/>
          <w:sz w:val="32"/>
          <w:szCs w:val="32"/>
        </w:rPr>
      </w:pPr>
      <w:r>
        <w:rPr>
          <w:rFonts w:hint="eastAsia" w:ascii="楷体_GB2312" w:hAnsi="楷体_GB2312" w:eastAsia="楷体_GB2312" w:cs="楷体_GB2312"/>
          <w:bCs/>
          <w:color w:val="000000"/>
          <w:sz w:val="32"/>
          <w:szCs w:val="32"/>
        </w:rPr>
        <w:t>（</w:t>
      </w:r>
      <w:r>
        <w:rPr>
          <w:rFonts w:hint="eastAsia" w:ascii="楷体_GB2312" w:hAnsi="楷体_GB2312" w:eastAsia="楷体_GB2312" w:cs="楷体_GB2312"/>
          <w:color w:val="000000"/>
          <w:sz w:val="32"/>
          <w:szCs w:val="32"/>
        </w:rPr>
        <w:t>二）强化品牌创建</w:t>
      </w:r>
    </w:p>
    <w:p>
      <w:pPr>
        <w:pStyle w:val="4"/>
        <w:keepNext w:val="0"/>
        <w:keepLines w:val="0"/>
        <w:pageBreakBefore w:val="0"/>
        <w:kinsoku/>
        <w:wordWrap/>
        <w:overflowPunct/>
        <w:topLinePunct w:val="0"/>
        <w:autoSpaceDE/>
        <w:autoSpaceDN/>
        <w:bidi w:val="0"/>
        <w:adjustRightInd/>
        <w:spacing w:line="600" w:lineRule="exact"/>
        <w:ind w:firstLine="640" w:firstLineChars="200"/>
        <w:rPr>
          <w:color w:val="000000"/>
        </w:rPr>
      </w:pPr>
      <w:r>
        <w:rPr>
          <w:rFonts w:hint="eastAsia" w:ascii="仿宋_GB2312" w:hAnsi="仿宋_GB2312" w:eastAsia="仿宋_GB2312" w:cs="仿宋_GB2312"/>
          <w:color w:val="000000"/>
          <w:sz w:val="32"/>
          <w:szCs w:val="32"/>
        </w:rPr>
        <w:t>郭沫若故居</w:t>
      </w:r>
      <w:r>
        <w:rPr>
          <w:rFonts w:hint="eastAsia" w:ascii="仿宋_GB2312" w:hAnsi="仿宋_GB2312" w:eastAsia="仿宋_GB2312" w:cs="仿宋_GB2312"/>
          <w:color w:val="000000"/>
          <w:sz w:val="32"/>
          <w:szCs w:val="32"/>
          <w:lang w:eastAsia="zh-CN"/>
        </w:rPr>
        <w:t>确定为</w:t>
      </w:r>
      <w:r>
        <w:rPr>
          <w:rFonts w:hint="eastAsia" w:ascii="仿宋_GB2312" w:hAnsi="仿宋_GB2312" w:eastAsia="仿宋_GB2312" w:cs="仿宋_GB2312"/>
          <w:color w:val="000000"/>
          <w:sz w:val="32"/>
          <w:szCs w:val="32"/>
        </w:rPr>
        <w:t>四川省</w:t>
      </w:r>
      <w:r>
        <w:rPr>
          <w:rFonts w:hint="eastAsia" w:ascii="仿宋_GB2312" w:hAnsi="仿宋_GB2312" w:eastAsia="仿宋_GB2312" w:cs="仿宋_GB2312"/>
          <w:color w:val="000000"/>
          <w:sz w:val="32"/>
          <w:szCs w:val="32"/>
          <w:lang w:eastAsia="zh-CN"/>
        </w:rPr>
        <w:t>首批</w:t>
      </w:r>
      <w:r>
        <w:rPr>
          <w:rFonts w:hint="eastAsia" w:ascii="仿宋_GB2312" w:hAnsi="仿宋_GB2312" w:eastAsia="仿宋_GB2312" w:cs="仿宋_GB2312"/>
          <w:color w:val="000000"/>
          <w:sz w:val="32"/>
          <w:szCs w:val="32"/>
        </w:rPr>
        <w:t>中小学红色教育研学实践基地；硝斗岩天坑</w:t>
      </w:r>
      <w:r>
        <w:rPr>
          <w:rFonts w:hint="eastAsia" w:ascii="仿宋_GB2312" w:hAnsi="仿宋_GB2312" w:eastAsia="仿宋_GB2312" w:cs="仿宋_GB2312"/>
          <w:color w:val="000000"/>
          <w:sz w:val="32"/>
          <w:szCs w:val="32"/>
          <w:lang w:eastAsia="zh-CN"/>
        </w:rPr>
        <w:t>确定为</w:t>
      </w:r>
      <w:r>
        <w:rPr>
          <w:rFonts w:hint="eastAsia" w:ascii="仿宋_GB2312" w:hAnsi="仿宋_GB2312" w:eastAsia="仿宋_GB2312" w:cs="仿宋_GB2312"/>
          <w:color w:val="000000"/>
          <w:sz w:val="32"/>
          <w:szCs w:val="32"/>
        </w:rPr>
        <w:t>四川省</w:t>
      </w:r>
      <w:r>
        <w:rPr>
          <w:rFonts w:hint="eastAsia" w:ascii="仿宋_GB2312" w:hAnsi="仿宋_GB2312" w:eastAsia="仿宋_GB2312" w:cs="仿宋_GB2312"/>
          <w:color w:val="000000"/>
          <w:sz w:val="32"/>
          <w:szCs w:val="32"/>
          <w:lang w:eastAsia="zh-CN"/>
        </w:rPr>
        <w:t>首批</w:t>
      </w:r>
      <w:r>
        <w:rPr>
          <w:rFonts w:hint="eastAsia" w:ascii="仿宋_GB2312" w:hAnsi="仿宋_GB2312" w:eastAsia="仿宋_GB2312" w:cs="仿宋_GB2312"/>
          <w:color w:val="000000"/>
          <w:sz w:val="32"/>
          <w:szCs w:val="32"/>
        </w:rPr>
        <w:t>研学旅行实践基地（地学类）；</w:t>
      </w:r>
      <w:r>
        <w:rPr>
          <w:rFonts w:hint="eastAsia" w:ascii="仿宋_GB2312" w:hAnsi="仿宋_GB2312" w:eastAsia="仿宋_GB2312" w:cs="仿宋_GB2312"/>
          <w:color w:val="000000"/>
          <w:sz w:val="32"/>
          <w:szCs w:val="32"/>
          <w:lang w:eastAsia="zh-CN"/>
        </w:rPr>
        <w:t>轸溪镇双山村创建为省级乡村旅游重点村；</w:t>
      </w:r>
      <w:r>
        <w:rPr>
          <w:rFonts w:hint="eastAsia" w:ascii="仿宋_GB2312" w:hAnsi="仿宋_GB2312" w:eastAsia="仿宋_GB2312" w:cs="仿宋_GB2312"/>
          <w:color w:val="000000"/>
          <w:sz w:val="32"/>
          <w:szCs w:val="32"/>
        </w:rPr>
        <w:t>沫若戏剧文创园创建</w:t>
      </w:r>
      <w:r>
        <w:rPr>
          <w:rFonts w:hint="eastAsia" w:ascii="仿宋_GB2312" w:hAnsi="仿宋_GB2312" w:eastAsia="仿宋_GB2312" w:cs="仿宋_GB2312"/>
          <w:color w:val="000000"/>
          <w:sz w:val="32"/>
          <w:szCs w:val="32"/>
          <w:lang w:eastAsia="zh-CN"/>
        </w:rPr>
        <w:t>为</w:t>
      </w:r>
      <w:r>
        <w:rPr>
          <w:rFonts w:hint="eastAsia" w:ascii="仿宋_GB2312" w:hAnsi="仿宋_GB2312" w:eastAsia="仿宋_GB2312" w:cs="仿宋_GB2312"/>
          <w:color w:val="000000"/>
          <w:sz w:val="32"/>
          <w:szCs w:val="32"/>
        </w:rPr>
        <w:t>国家AAA级旅游景区，</w:t>
      </w:r>
      <w:r>
        <w:rPr>
          <w:rFonts w:hint="eastAsia" w:ascii="仿宋_GB2312" w:hAnsi="仿宋_GB2312" w:eastAsia="仿宋_GB2312" w:cs="仿宋_GB2312"/>
          <w:color w:val="000000"/>
          <w:sz w:val="32"/>
          <w:szCs w:val="32"/>
          <w:lang w:eastAsia="zh-CN"/>
        </w:rPr>
        <w:t>同时，沫</w:t>
      </w:r>
      <w:r>
        <w:rPr>
          <w:rFonts w:hint="eastAsia" w:ascii="仿宋_GB2312" w:hAnsi="仿宋_GB2312" w:eastAsia="仿宋_GB2312" w:cs="仿宋_GB2312"/>
          <w:b w:val="0"/>
          <w:color w:val="000000"/>
          <w:kern w:val="2"/>
          <w:sz w:val="32"/>
          <w:szCs w:val="32"/>
          <w:lang w:val="en-US" w:eastAsia="zh-CN" w:bidi="ar-SA"/>
        </w:rPr>
        <w:t>若戏剧文创园成功入选全省文旅融合项目库，争取项目补助资金800万元。持续</w:t>
      </w:r>
      <w:r>
        <w:rPr>
          <w:rFonts w:hint="eastAsia" w:ascii="仿宋_GB2312" w:hAnsi="仿宋_GB2312" w:eastAsia="仿宋_GB2312" w:cs="仿宋_GB2312"/>
          <w:color w:val="000000"/>
          <w:sz w:val="32"/>
          <w:szCs w:val="32"/>
        </w:rPr>
        <w:t>开展天府旅游名县候选县、四川省全域旅游示范区、四川省文旅特色小镇创建工作，招标确定了第三方辅导机构，目前已完成提升初稿。</w:t>
      </w:r>
    </w:p>
    <w:p>
      <w:pPr>
        <w:keepNext w:val="0"/>
        <w:keepLines w:val="0"/>
        <w:pageBreakBefore w:val="0"/>
        <w:widowControl/>
        <w:kinsoku/>
        <w:wordWrap/>
        <w:overflowPunct/>
        <w:topLinePunct w:val="0"/>
        <w:autoSpaceDE/>
        <w:autoSpaceDN/>
        <w:bidi w:val="0"/>
        <w:adjustRightInd/>
        <w:spacing w:line="600" w:lineRule="exact"/>
        <w:ind w:firstLine="640" w:firstLineChars="200"/>
        <w:jc w:val="left"/>
        <w:outlineLvl w:val="1"/>
        <w:rPr>
          <w:rFonts w:hint="eastAsia"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（三）全力推动项目</w:t>
      </w:r>
    </w:p>
    <w:p>
      <w:pPr>
        <w:keepNext w:val="0"/>
        <w:keepLines w:val="0"/>
        <w:pageBreakBefore w:val="0"/>
        <w:kinsoku/>
        <w:wordWrap/>
        <w:overflowPunct/>
        <w:topLinePunct w:val="0"/>
        <w:autoSpaceDE/>
        <w:autoSpaceDN/>
        <w:bidi w:val="0"/>
        <w:adjustRightInd/>
        <w:spacing w:line="60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一是</w:t>
      </w:r>
      <w:r>
        <w:rPr>
          <w:rFonts w:hint="eastAsia" w:ascii="仿宋_GB2312" w:hAnsi="仿宋_GB2312" w:eastAsia="仿宋_GB2312" w:cs="仿宋_GB2312"/>
          <w:color w:val="000000"/>
          <w:kern w:val="2"/>
          <w:sz w:val="32"/>
          <w:szCs w:val="32"/>
          <w:lang w:val="en-US" w:eastAsia="zh-CN" w:bidi="ar-SA"/>
        </w:rPr>
        <w:t>郭沫若故居国家4A级旅游景区改造提升地方政府专项债项目于11月配合财政部门编制2022年申报资金新增的事前绩效评估报告、绩效目标表等文件，完成申报工作。二是落实专班全力推进沫若戏剧文创园2-1期建设工作，已于5月28日对外开放。三是美女峰项目已启动商业街主体装修工程，观光电梯塔已完成设计方案，11月委托金顶律师事务所对美女峰项目进行专项法律服务，预计12月底完成边坡治理工作并开放景区（试运行）；四是铜河银滩航模项目已于2月9日对外成功试飞，游乐场项目已于4月26日对外试营业。五是加快推进踏水镇踏水村社区健</w:t>
      </w:r>
      <w:r>
        <w:rPr>
          <w:rFonts w:hint="eastAsia" w:ascii="仿宋_GB2312" w:hAnsi="仿宋_GB2312" w:eastAsia="仿宋_GB2312" w:cs="仿宋_GB2312"/>
          <w:color w:val="000000"/>
          <w:sz w:val="32"/>
          <w:szCs w:val="32"/>
        </w:rPr>
        <w:t>身中心和大渡河骑游绿廊（沙湾段）标识标牌系统和配套设施两个中央项目建设工作，踏水镇踏水村社区健身中心已完成工程，大渡河骑游绿廊（沙湾段）标识标牌系统和配套设施已</w:t>
      </w:r>
      <w:r>
        <w:rPr>
          <w:rFonts w:hint="eastAsia" w:ascii="仿宋_GB2312" w:hAnsi="仿宋_GB2312" w:eastAsia="仿宋_GB2312" w:cs="仿宋_GB2312"/>
          <w:color w:val="000000"/>
          <w:sz w:val="32"/>
          <w:szCs w:val="32"/>
          <w:lang w:eastAsia="zh-CN"/>
        </w:rPr>
        <w:t>完成安装并验收</w:t>
      </w:r>
      <w:r>
        <w:rPr>
          <w:rFonts w:hint="eastAsia" w:ascii="仿宋_GB2312" w:hAnsi="仿宋_GB2312" w:eastAsia="仿宋_GB2312" w:cs="仿宋_GB2312"/>
          <w:color w:val="000000"/>
          <w:sz w:val="32"/>
          <w:szCs w:val="32"/>
        </w:rPr>
        <w:t>。</w:t>
      </w:r>
    </w:p>
    <w:p>
      <w:pPr>
        <w:keepNext w:val="0"/>
        <w:keepLines w:val="0"/>
        <w:pageBreakBefore w:val="0"/>
        <w:numPr>
          <w:ilvl w:val="0"/>
          <w:numId w:val="3"/>
        </w:numPr>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pacing w:line="600" w:lineRule="exact"/>
        <w:ind w:left="310" w:leftChars="0" w:firstLine="640" w:firstLineChars="200"/>
        <w:jc w:val="left"/>
        <w:outlineLvl w:val="1"/>
        <w:rPr>
          <w:rFonts w:hint="eastAsia" w:ascii="仿宋_GB2312" w:hAnsi="仿宋_GB2312" w:eastAsia="仿宋_GB2312" w:cs="仿宋_GB2312"/>
          <w:color w:val="000000"/>
          <w:sz w:val="32"/>
          <w:szCs w:val="32"/>
        </w:rPr>
      </w:pPr>
      <w:r>
        <w:rPr>
          <w:rFonts w:hint="eastAsia" w:ascii="楷体_GB2312" w:hAnsi="楷体_GB2312" w:eastAsia="楷体_GB2312" w:cs="楷体_GB2312"/>
          <w:color w:val="000000"/>
          <w:sz w:val="32"/>
          <w:szCs w:val="32"/>
        </w:rPr>
        <w:t>蓬勃开展文体旅活动</w:t>
      </w:r>
      <w:r>
        <w:rPr>
          <w:rFonts w:hint="eastAsia" w:ascii="楷体_GB2312" w:hAnsi="楷体_GB2312" w:eastAsia="楷体_GB2312" w:cs="楷体_GB2312"/>
          <w:color w:val="000000"/>
          <w:sz w:val="32"/>
          <w:szCs w:val="32"/>
          <w:lang w:val="en-US" w:eastAsia="zh-CN"/>
        </w:rPr>
        <w:t xml:space="preserve">                             </w:t>
      </w:r>
    </w:p>
    <w:p>
      <w:pPr>
        <w:keepNext w:val="0"/>
        <w:keepLines w:val="0"/>
        <w:pageBreakBefore w:val="0"/>
        <w:numPr>
          <w:ilvl w:val="0"/>
          <w:numId w:val="0"/>
        </w:numPr>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pacing w:line="600" w:lineRule="exact"/>
        <w:ind w:firstLine="640" w:firstLineChars="200"/>
        <w:jc w:val="left"/>
        <w:rPr>
          <w:rFonts w:hint="eastAsia" w:ascii="仿宋_GB2312" w:hAnsi="仿宋_GB2312" w:eastAsia="仿宋_GB2312" w:cs="仿宋_GB2312"/>
          <w:color w:val="000000"/>
          <w:sz w:val="32"/>
          <w:szCs w:val="32"/>
          <w:lang w:val="en-US" w:eastAsia="zh-CN" w:bidi="ar"/>
        </w:rPr>
      </w:pPr>
      <w:r>
        <w:rPr>
          <w:rFonts w:hint="eastAsia" w:ascii="仿宋_GB2312" w:hAnsi="仿宋_GB2312" w:eastAsia="仿宋_GB2312" w:cs="仿宋_GB2312"/>
          <w:color w:val="000000"/>
          <w:sz w:val="32"/>
          <w:szCs w:val="32"/>
        </w:rPr>
        <w:t>一是加快“体育+旅游”融合发展，</w:t>
      </w:r>
      <w:r>
        <w:rPr>
          <w:rFonts w:hint="eastAsia" w:ascii="仿宋_GB2312" w:hAnsi="仿宋_GB2312" w:eastAsia="仿宋_GB2312" w:cs="仿宋_GB2312"/>
          <w:bCs/>
          <w:color w:val="000000"/>
          <w:sz w:val="32"/>
          <w:szCs w:val="32"/>
        </w:rPr>
        <w:t>成功引进成都深行户外</w:t>
      </w:r>
      <w:r>
        <w:rPr>
          <w:rFonts w:hint="eastAsia" w:ascii="仿宋_GB2312" w:hAnsi="仿宋_GB2312" w:eastAsia="仿宋_GB2312" w:cs="仿宋_GB2312"/>
          <w:color w:val="000000"/>
          <w:sz w:val="32"/>
          <w:szCs w:val="32"/>
        </w:rPr>
        <w:t>运动有限公司，签订我区体育旅游融合发展战略合作框架协议，成功举办2021“跑遍四川”UTSC越野跑系列赛乐山沙湾美女峰</w:t>
      </w:r>
      <w:r>
        <w:rPr>
          <w:rFonts w:hint="eastAsia" w:ascii="仿宋" w:hAnsi="仿宋" w:eastAsia="仿宋"/>
          <w:color w:val="000000"/>
          <w:sz w:val="32"/>
          <w:szCs w:val="32"/>
        </w:rPr>
        <w:t>超级越野赛，吸引了省内外1600余名运动员参赛；二是成功</w:t>
      </w:r>
      <w:r>
        <w:rPr>
          <w:rFonts w:hint="eastAsia" w:ascii="仿宋_GB2312" w:hAnsi="仿宋_GB2312" w:eastAsia="仿宋_GB2312" w:cs="仿宋_GB2312"/>
          <w:color w:val="000000"/>
          <w:sz w:val="32"/>
          <w:szCs w:val="32"/>
        </w:rPr>
        <w:t>举办“乐山市</w:t>
      </w:r>
      <w:r>
        <w:rPr>
          <w:rFonts w:hint="eastAsia" w:ascii="仿宋_GB2312" w:hAnsi="仿宋_GB2312" w:eastAsia="仿宋_GB2312" w:cs="仿宋_GB2312"/>
          <w:color w:val="000000"/>
          <w:sz w:val="32"/>
          <w:szCs w:val="32"/>
          <w:lang w:eastAsia="zh-CN"/>
        </w:rPr>
        <w:t>第</w:t>
      </w:r>
      <w:r>
        <w:rPr>
          <w:rFonts w:hint="eastAsia" w:ascii="仿宋_GB2312" w:hAnsi="仿宋_GB2312" w:eastAsia="仿宋_GB2312" w:cs="仿宋_GB2312"/>
          <w:color w:val="000000"/>
          <w:sz w:val="32"/>
          <w:szCs w:val="32"/>
        </w:rPr>
        <w:t>68届假日体育”活动，</w:t>
      </w:r>
      <w:r>
        <w:rPr>
          <w:rFonts w:hint="eastAsia" w:ascii="仿宋_GB2312" w:hAnsi="仿宋_GB2312" w:eastAsia="仿宋_GB2312" w:cs="仿宋_GB2312"/>
          <w:color w:val="000000"/>
          <w:sz w:val="32"/>
          <w:szCs w:val="32"/>
          <w:shd w:val="clear" w:color="auto" w:fill="FAFAFA"/>
        </w:rPr>
        <w:t>进一步加速我区“体育+旅游”融合发展</w:t>
      </w:r>
      <w:r>
        <w:rPr>
          <w:rFonts w:hint="eastAsia" w:ascii="仿宋_GB2312" w:hAnsi="仿宋_GB2312" w:eastAsia="仿宋_GB2312" w:cs="仿宋_GB2312"/>
          <w:color w:val="000000"/>
          <w:sz w:val="32"/>
          <w:szCs w:val="32"/>
          <w:shd w:val="clear" w:color="auto" w:fill="FAFAFA"/>
          <w:lang w:eastAsia="zh-CN"/>
        </w:rPr>
        <w:t>；</w:t>
      </w:r>
      <w:r>
        <w:rPr>
          <w:rFonts w:hint="eastAsia" w:ascii="仿宋" w:hAnsi="仿宋" w:eastAsia="仿宋"/>
          <w:color w:val="000000"/>
          <w:sz w:val="32"/>
          <w:szCs w:val="32"/>
        </w:rPr>
        <w:t>三是积极组队参加乐山市第八届运动会，参加3个组别14个项目比赛</w:t>
      </w:r>
      <w:r>
        <w:rPr>
          <w:rFonts w:hint="eastAsia" w:ascii="仿宋" w:hAnsi="仿宋" w:eastAsia="仿宋"/>
          <w:color w:val="000000"/>
          <w:sz w:val="32"/>
          <w:szCs w:val="32"/>
          <w:lang w:eastAsia="zh-CN"/>
        </w:rPr>
        <w:t>；</w:t>
      </w:r>
      <w:r>
        <w:rPr>
          <w:rFonts w:hint="eastAsia" w:ascii="仿宋" w:hAnsi="仿宋" w:eastAsia="仿宋"/>
          <w:color w:val="000000"/>
          <w:sz w:val="32"/>
          <w:szCs w:val="32"/>
        </w:rPr>
        <w:t>四是</w:t>
      </w:r>
      <w:r>
        <w:rPr>
          <w:rFonts w:hint="eastAsia" w:ascii="仿宋_GB2312" w:hAnsi="仿宋_GB2312" w:eastAsia="仿宋_GB2312" w:cs="仿宋_GB2312"/>
          <w:b w:val="0"/>
          <w:color w:val="000000"/>
          <w:kern w:val="2"/>
          <w:sz w:val="32"/>
          <w:szCs w:val="32"/>
          <w:lang w:val="en-US" w:eastAsia="zh-CN" w:bidi="ar-SA"/>
        </w:rPr>
        <w:t>圆满承办全省首届研学旅行大会沙湾考察点位，共计350余人参加了大会；五是</w:t>
      </w:r>
      <w:r>
        <w:rPr>
          <w:rFonts w:hint="eastAsia" w:ascii="仿宋_GB2312" w:hAnsi="仿宋_GB2312" w:eastAsia="仿宋_GB2312" w:cs="仿宋_GB2312"/>
          <w:color w:val="000000"/>
          <w:sz w:val="32"/>
          <w:szCs w:val="32"/>
          <w:lang w:val="en-US" w:eastAsia="zh-CN"/>
        </w:rPr>
        <w:t xml:space="preserve">精心组织参加省第八届旅博会、第十八届中国西部国际博览会、第十七届深圳文博会，三次博览会全方位、立体式的宣传展示了沙湾文旅发展新成就；六是由四川省文学艺术界联合会牵头、川渝四馆（四川省沫若艺术院、乐山沙湾郭沫若故居纪念馆、重庆渝中区郭沫若旧居、重庆沙坪坝区郭沫若纪念馆）共同组织开展“追寻郭沫若足迹”川渝文艺交流暨“我为群众办实事”四川省文艺志愿者走进乐山沙湾惠民演出活动在乐山郭沫若故居顺利举行；七是常年组织开展“沫若大舞台”基层惠民演出活动20余场次，开展“沫若大讲堂”群众公益讲座共10余场，组织“沫若艺苑”文艺培训10期。                                        </w:t>
      </w:r>
      <w:r>
        <w:rPr>
          <w:rFonts w:hint="eastAsia" w:ascii="仿宋_GB2312" w:hAnsi="仿宋_GB2312" w:eastAsia="仿宋_GB2312" w:cs="仿宋_GB2312"/>
          <w:color w:val="000000"/>
          <w:sz w:val="32"/>
          <w:szCs w:val="32"/>
          <w:lang w:val="en-US" w:eastAsia="zh-CN" w:bidi="ar"/>
        </w:rPr>
        <w:t xml:space="preserve">     </w:t>
      </w:r>
    </w:p>
    <w:p>
      <w:pPr>
        <w:keepNext w:val="0"/>
        <w:keepLines w:val="0"/>
        <w:pageBreakBefore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pacing w:line="600" w:lineRule="exact"/>
        <w:ind w:firstLine="640" w:firstLineChars="200"/>
        <w:outlineLvl w:val="1"/>
        <w:rPr>
          <w:rFonts w:hint="eastAsia" w:ascii="楷体_GB2312" w:hAnsi="楷体_GB2312" w:eastAsia="楷体_GB2312" w:cs="楷体_GB2312"/>
          <w:bCs/>
          <w:color w:val="000000"/>
          <w:sz w:val="32"/>
          <w:szCs w:val="32"/>
          <w:lang w:val="en-US" w:eastAsia="zh-CN"/>
        </w:rPr>
      </w:pPr>
      <w:r>
        <w:rPr>
          <w:rFonts w:hint="eastAsia" w:ascii="楷体_GB2312" w:hAnsi="楷体_GB2312" w:eastAsia="楷体_GB2312" w:cs="楷体_GB2312"/>
          <w:bCs/>
          <w:color w:val="000000"/>
          <w:sz w:val="32"/>
          <w:szCs w:val="32"/>
        </w:rPr>
        <w:t>（五）扎实推进文博工作</w:t>
      </w:r>
      <w:r>
        <w:rPr>
          <w:rFonts w:hint="eastAsia" w:ascii="楷体_GB2312" w:hAnsi="楷体_GB2312" w:eastAsia="楷体_GB2312" w:cs="楷体_GB2312"/>
          <w:bCs/>
          <w:color w:val="000000"/>
          <w:sz w:val="32"/>
          <w:szCs w:val="32"/>
          <w:lang w:val="en-US" w:eastAsia="zh-CN"/>
        </w:rPr>
        <w:t xml:space="preserve"> </w:t>
      </w:r>
    </w:p>
    <w:p>
      <w:pPr>
        <w:keepNext w:val="0"/>
        <w:keepLines w:val="0"/>
        <w:pageBreakBefore w:val="0"/>
        <w:kinsoku/>
        <w:wordWrap/>
        <w:overflowPunct/>
        <w:topLinePunct w:val="0"/>
        <w:autoSpaceDE/>
        <w:autoSpaceDN/>
        <w:bidi w:val="0"/>
        <w:adjustRightInd/>
        <w:spacing w:line="600" w:lineRule="exact"/>
        <w:ind w:firstLine="640" w:firstLineChars="200"/>
        <w:rPr>
          <w:rFonts w:hint="eastAsia" w:ascii="仿宋" w:hAnsi="仿宋" w:eastAsia="仿宋" w:cs="仿宋"/>
          <w:bCs/>
          <w:color w:val="000000"/>
          <w:sz w:val="32"/>
          <w:szCs w:val="32"/>
          <w:lang w:val="en-US" w:eastAsia="zh-CN"/>
        </w:rPr>
      </w:pPr>
      <w:r>
        <w:rPr>
          <w:rFonts w:hint="eastAsia" w:ascii="仿宋" w:hAnsi="仿宋" w:eastAsia="仿宋" w:cs="仿宋"/>
          <w:bCs/>
          <w:color w:val="000000"/>
          <w:sz w:val="32"/>
          <w:szCs w:val="32"/>
        </w:rPr>
        <w:t>一是编制了《沙湾区文物保护范围视频监控工程实施方案》</w:t>
      </w:r>
      <w:r>
        <w:rPr>
          <w:rFonts w:hint="eastAsia" w:ascii="仿宋" w:hAnsi="仿宋" w:eastAsia="仿宋" w:cs="仿宋"/>
          <w:bCs/>
          <w:color w:val="000000"/>
          <w:sz w:val="32"/>
          <w:szCs w:val="32"/>
          <w:lang w:eastAsia="zh-CN"/>
        </w:rPr>
        <w:t>，</w:t>
      </w:r>
      <w:r>
        <w:rPr>
          <w:rFonts w:hint="eastAsia" w:ascii="仿宋" w:hAnsi="仿宋" w:eastAsia="仿宋" w:cs="仿宋"/>
          <w:bCs/>
          <w:color w:val="000000"/>
          <w:sz w:val="32"/>
          <w:szCs w:val="32"/>
          <w:lang w:val="en-US" w:eastAsia="zh-Hans"/>
        </w:rPr>
        <w:t>完成</w:t>
      </w:r>
      <w:r>
        <w:rPr>
          <w:rFonts w:hint="eastAsia" w:ascii="仿宋" w:hAnsi="仿宋" w:eastAsia="仿宋" w:cs="仿宋"/>
          <w:bCs/>
          <w:color w:val="000000"/>
          <w:sz w:val="32"/>
          <w:szCs w:val="32"/>
          <w:lang w:eastAsia="zh-CN"/>
        </w:rPr>
        <w:t>郭朝沛墓等</w:t>
      </w:r>
      <w:r>
        <w:rPr>
          <w:rFonts w:hint="eastAsia" w:ascii="仿宋" w:hAnsi="仿宋" w:eastAsia="仿宋" w:cs="仿宋"/>
          <w:bCs/>
          <w:color w:val="000000"/>
          <w:sz w:val="32"/>
          <w:szCs w:val="32"/>
          <w:lang w:val="en-US" w:eastAsia="zh-CN"/>
        </w:rPr>
        <w:t>12</w:t>
      </w:r>
      <w:r>
        <w:rPr>
          <w:rFonts w:hint="eastAsia" w:ascii="仿宋" w:hAnsi="仿宋" w:eastAsia="仿宋" w:cs="仿宋"/>
          <w:bCs/>
          <w:color w:val="000000"/>
          <w:sz w:val="32"/>
          <w:szCs w:val="32"/>
          <w:lang w:val="en-US" w:eastAsia="zh-Hans"/>
        </w:rPr>
        <w:t>处</w:t>
      </w:r>
      <w:r>
        <w:rPr>
          <w:rFonts w:hint="eastAsia" w:ascii="仿宋" w:hAnsi="仿宋" w:eastAsia="仿宋" w:cs="仿宋"/>
          <w:bCs/>
          <w:color w:val="000000"/>
          <w:sz w:val="32"/>
          <w:szCs w:val="32"/>
        </w:rPr>
        <w:t>价值较高、亟需保护的县级以上文物保护单位监控系统</w:t>
      </w:r>
      <w:r>
        <w:rPr>
          <w:rFonts w:hint="eastAsia" w:ascii="仿宋" w:hAnsi="仿宋" w:eastAsia="仿宋" w:cs="仿宋"/>
          <w:bCs/>
          <w:color w:val="000000"/>
          <w:sz w:val="32"/>
          <w:szCs w:val="32"/>
          <w:lang w:val="en-US" w:eastAsia="zh-Hans"/>
        </w:rPr>
        <w:t>安装</w:t>
      </w:r>
      <w:r>
        <w:rPr>
          <w:rFonts w:hint="eastAsia" w:ascii="仿宋" w:hAnsi="仿宋" w:eastAsia="仿宋" w:cs="仿宋"/>
          <w:bCs/>
          <w:color w:val="000000"/>
          <w:sz w:val="32"/>
          <w:szCs w:val="32"/>
          <w:lang w:val="en-US" w:eastAsia="zh-CN"/>
        </w:rPr>
        <w:t>工程</w:t>
      </w:r>
      <w:r>
        <w:rPr>
          <w:rFonts w:hint="eastAsia" w:ascii="仿宋" w:hAnsi="仿宋" w:eastAsia="仿宋" w:cs="仿宋"/>
          <w:bCs/>
          <w:color w:val="000000"/>
          <w:sz w:val="32"/>
          <w:szCs w:val="32"/>
        </w:rPr>
        <w:t>。</w:t>
      </w:r>
      <w:r>
        <w:rPr>
          <w:rFonts w:hint="eastAsia" w:ascii="仿宋" w:hAnsi="仿宋" w:eastAsia="仿宋" w:cs="仿宋"/>
          <w:bCs/>
          <w:color w:val="000000"/>
          <w:sz w:val="32"/>
          <w:szCs w:val="32"/>
          <w:lang w:eastAsia="zh-CN"/>
        </w:rPr>
        <w:t>二是</w:t>
      </w:r>
      <w:r>
        <w:rPr>
          <w:rFonts w:hint="eastAsia" w:ascii="仿宋" w:hAnsi="仿宋" w:eastAsia="仿宋" w:cs="仿宋"/>
          <w:bCs/>
          <w:color w:val="000000"/>
          <w:sz w:val="32"/>
          <w:szCs w:val="32"/>
          <w:lang w:val="en-US" w:eastAsia="zh-CN"/>
        </w:rPr>
        <w:t>与各级文物单位和文物点所在镇(街道)签订安全责任书，落实19处县级以上不可移动文物保护单位、113 处一般文物点“谁使用、谁管理、谁负责”。完成区境内18</w:t>
      </w:r>
      <w:r>
        <w:rPr>
          <w:rFonts w:hint="eastAsia" w:ascii="仿宋" w:hAnsi="仿宋" w:eastAsia="仿宋" w:cs="仿宋"/>
          <w:bCs/>
          <w:color w:val="000000"/>
          <w:sz w:val="32"/>
          <w:szCs w:val="32"/>
          <w:lang w:val="en-US" w:eastAsia="zh-Hans"/>
        </w:rPr>
        <w:t>处</w:t>
      </w:r>
      <w:r>
        <w:rPr>
          <w:rFonts w:hint="eastAsia" w:ascii="仿宋" w:hAnsi="仿宋" w:eastAsia="仿宋" w:cs="仿宋"/>
          <w:bCs/>
          <w:color w:val="000000"/>
          <w:sz w:val="32"/>
          <w:szCs w:val="32"/>
          <w:lang w:val="en-US" w:eastAsia="zh-CN"/>
        </w:rPr>
        <w:t>县级</w:t>
      </w:r>
      <w:r>
        <w:rPr>
          <w:rFonts w:hint="eastAsia" w:ascii="仿宋" w:hAnsi="仿宋" w:eastAsia="仿宋" w:cs="仿宋"/>
          <w:bCs/>
          <w:color w:val="000000"/>
          <w:sz w:val="32"/>
          <w:szCs w:val="32"/>
          <w:lang w:val="en-US" w:eastAsia="zh-Hans"/>
        </w:rPr>
        <w:t>以上</w:t>
      </w:r>
      <w:r>
        <w:rPr>
          <w:rFonts w:hint="eastAsia" w:ascii="仿宋" w:hAnsi="仿宋" w:eastAsia="仿宋" w:cs="仿宋"/>
          <w:bCs/>
          <w:color w:val="000000"/>
          <w:sz w:val="32"/>
          <w:szCs w:val="32"/>
          <w:lang w:val="en-US" w:eastAsia="zh-CN"/>
        </w:rPr>
        <w:t>不可移动文物保护单位文物安全责任清单公告公示和文物保护单位保护标志安装工作。三是加强非遗保护与传承，</w:t>
      </w:r>
      <w:r>
        <w:rPr>
          <w:rFonts w:hint="eastAsia" w:ascii="仿宋" w:hAnsi="仿宋" w:eastAsia="仿宋" w:cs="仿宋"/>
          <w:color w:val="000000"/>
          <w:sz w:val="32"/>
          <w:szCs w:val="32"/>
        </w:rPr>
        <w:t>6月</w:t>
      </w:r>
      <w:r>
        <w:rPr>
          <w:rFonts w:hint="eastAsia" w:ascii="仿宋" w:hAnsi="仿宋" w:eastAsia="仿宋" w:cs="仿宋"/>
          <w:color w:val="000000"/>
          <w:sz w:val="32"/>
          <w:szCs w:val="32"/>
          <w:lang w:eastAsia="zh-CN"/>
        </w:rPr>
        <w:t>在</w:t>
      </w:r>
      <w:r>
        <w:rPr>
          <w:rFonts w:hint="eastAsia" w:ascii="仿宋" w:hAnsi="仿宋" w:eastAsia="仿宋" w:cs="仿宋"/>
          <w:color w:val="000000"/>
          <w:sz w:val="32"/>
          <w:szCs w:val="32"/>
        </w:rPr>
        <w:t>沙湾区文化馆</w:t>
      </w:r>
      <w:r>
        <w:rPr>
          <w:rFonts w:hint="eastAsia" w:ascii="仿宋" w:hAnsi="仿宋" w:eastAsia="仿宋" w:cs="仿宋"/>
          <w:color w:val="000000"/>
          <w:sz w:val="32"/>
          <w:szCs w:val="32"/>
          <w:lang w:eastAsia="zh-CN"/>
        </w:rPr>
        <w:t>举办了非遗宣传展览，</w:t>
      </w:r>
      <w:r>
        <w:rPr>
          <w:rFonts w:hint="eastAsia" w:ascii="仿宋" w:hAnsi="仿宋" w:eastAsia="仿宋" w:cs="仿宋"/>
          <w:color w:val="000000"/>
          <w:sz w:val="32"/>
          <w:szCs w:val="32"/>
          <w:lang w:val="en-US" w:eastAsia="zh-CN"/>
        </w:rPr>
        <w:t>10月</w:t>
      </w:r>
      <w:r>
        <w:rPr>
          <w:rFonts w:hint="eastAsia" w:ascii="仿宋_GB2312" w:hAnsi="仿宋_GB2312" w:eastAsia="仿宋_GB2312" w:cs="仿宋_GB2312"/>
          <w:color w:val="000000"/>
          <w:kern w:val="0"/>
          <w:sz w:val="32"/>
          <w:szCs w:val="32"/>
        </w:rPr>
        <w:t>组织召开了</w:t>
      </w:r>
      <w:r>
        <w:rPr>
          <w:rFonts w:hint="eastAsia" w:ascii="仿宋_GB2312" w:hAnsi="仿宋_GB2312" w:eastAsia="仿宋_GB2312" w:cs="仿宋_GB2312"/>
          <w:color w:val="000000"/>
          <w:kern w:val="0"/>
          <w:sz w:val="32"/>
          <w:szCs w:val="32"/>
          <w:lang w:eastAsia="zh-CN"/>
        </w:rPr>
        <w:t>沙湾区</w:t>
      </w:r>
      <w:r>
        <w:rPr>
          <w:rFonts w:hint="eastAsia" w:ascii="仿宋_GB2312" w:hAnsi="仿宋_GB2312" w:eastAsia="仿宋_GB2312" w:cs="仿宋_GB2312"/>
          <w:color w:val="000000"/>
          <w:kern w:val="0"/>
          <w:sz w:val="32"/>
          <w:szCs w:val="32"/>
        </w:rPr>
        <w:t>非遗评审会，通过了11个县级非遗项目。</w:t>
      </w:r>
    </w:p>
    <w:p>
      <w:pPr>
        <w:keepNext w:val="0"/>
        <w:keepLines w:val="0"/>
        <w:pageBreakBefore w:val="0"/>
        <w:numPr>
          <w:ilvl w:val="0"/>
          <w:numId w:val="4"/>
        </w:numPr>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pacing w:line="600" w:lineRule="exact"/>
        <w:ind w:left="-10" w:leftChars="0" w:firstLine="640" w:firstLineChars="200"/>
        <w:outlineLvl w:val="1"/>
        <w:rPr>
          <w:rFonts w:hint="eastAsia" w:ascii="楷体" w:hAnsi="楷体" w:eastAsia="楷体" w:cs="楷体"/>
          <w:bCs/>
          <w:color w:val="000000"/>
          <w:sz w:val="32"/>
          <w:szCs w:val="32"/>
        </w:rPr>
      </w:pPr>
      <w:r>
        <w:rPr>
          <w:rFonts w:hint="eastAsia" w:ascii="楷体" w:hAnsi="楷体" w:eastAsia="楷体" w:cs="楷体"/>
          <w:bCs/>
          <w:color w:val="000000"/>
          <w:sz w:val="32"/>
          <w:szCs w:val="32"/>
          <w:lang w:eastAsia="zh-CN"/>
        </w:rPr>
        <w:t>提升</w:t>
      </w:r>
      <w:r>
        <w:rPr>
          <w:rFonts w:hint="eastAsia" w:ascii="楷体" w:hAnsi="楷体" w:eastAsia="楷体" w:cs="楷体"/>
          <w:bCs/>
          <w:color w:val="000000"/>
          <w:sz w:val="32"/>
          <w:szCs w:val="32"/>
        </w:rPr>
        <w:t>公共文化服务体系</w:t>
      </w:r>
    </w:p>
    <w:p>
      <w:pPr>
        <w:keepNext w:val="0"/>
        <w:keepLines w:val="0"/>
        <w:pageBreakBefore w:val="0"/>
        <w:numPr>
          <w:ilvl w:val="0"/>
          <w:numId w:val="0"/>
        </w:numPr>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pacing w:line="600" w:lineRule="exact"/>
        <w:ind w:firstLine="640" w:firstLineChars="200"/>
        <w:rPr>
          <w:rFonts w:hint="eastAsia" w:ascii="仿宋" w:hAnsi="仿宋" w:eastAsia="仿宋" w:cs="仿宋"/>
          <w:bCs/>
          <w:color w:val="000000"/>
          <w:sz w:val="32"/>
          <w:szCs w:val="32"/>
        </w:rPr>
      </w:pPr>
      <w:r>
        <w:rPr>
          <w:rFonts w:hint="eastAsia" w:ascii="仿宋" w:hAnsi="仿宋" w:eastAsia="仿宋" w:cs="仿宋"/>
          <w:bCs/>
          <w:color w:val="000000"/>
          <w:sz w:val="32"/>
          <w:szCs w:val="32"/>
          <w:lang w:eastAsia="zh-CN"/>
        </w:rPr>
        <w:t>一是</w:t>
      </w:r>
      <w:r>
        <w:rPr>
          <w:rFonts w:hint="eastAsia" w:ascii="仿宋" w:hAnsi="仿宋" w:eastAsia="仿宋" w:cs="仿宋"/>
          <w:bCs/>
          <w:color w:val="000000"/>
          <w:sz w:val="32"/>
          <w:szCs w:val="32"/>
        </w:rPr>
        <w:t>继续实施公共文化设施“三馆一站”（郭沫若纪念馆、区文化馆、区沫若图书馆、乡镇综合文化站）的免费开放</w:t>
      </w:r>
      <w:r>
        <w:rPr>
          <w:rFonts w:hint="eastAsia" w:ascii="仿宋" w:hAnsi="仿宋" w:eastAsia="仿宋" w:cs="仿宋"/>
          <w:bCs/>
          <w:color w:val="000000"/>
          <w:sz w:val="32"/>
          <w:szCs w:val="32"/>
          <w:lang w:eastAsia="zh-CN"/>
        </w:rPr>
        <w:t>。二是</w:t>
      </w:r>
      <w:r>
        <w:rPr>
          <w:rFonts w:hint="eastAsia" w:ascii="仿宋" w:hAnsi="仿宋" w:eastAsia="仿宋" w:cs="仿宋"/>
          <w:bCs/>
          <w:color w:val="000000"/>
          <w:sz w:val="32"/>
          <w:szCs w:val="32"/>
        </w:rPr>
        <w:t>进一步加强图书馆数字系统建设，</w:t>
      </w:r>
      <w:r>
        <w:rPr>
          <w:rFonts w:hint="eastAsia" w:ascii="仿宋" w:hAnsi="仿宋" w:eastAsia="仿宋" w:cs="仿宋"/>
          <w:bCs/>
          <w:color w:val="000000"/>
          <w:sz w:val="32"/>
          <w:szCs w:val="32"/>
          <w:lang w:eastAsia="zh-CN"/>
        </w:rPr>
        <w:t>把馆藏有关郭沫若先生的文献进行加工成电子文献书籍供读者在线阅读，</w:t>
      </w:r>
      <w:r>
        <w:rPr>
          <w:rFonts w:hint="eastAsia" w:ascii="仿宋" w:hAnsi="仿宋" w:eastAsia="仿宋" w:cs="仿宋"/>
          <w:bCs/>
          <w:color w:val="000000"/>
          <w:sz w:val="32"/>
          <w:szCs w:val="32"/>
          <w:lang w:val="en-US" w:eastAsia="zh-CN"/>
        </w:rPr>
        <w:t>为少儿们配备了绘本阅读机</w:t>
      </w:r>
      <w:r>
        <w:rPr>
          <w:rFonts w:hint="eastAsia" w:ascii="仿宋" w:hAnsi="仿宋" w:eastAsia="仿宋" w:cs="仿宋"/>
          <w:bCs/>
          <w:color w:val="000000"/>
          <w:sz w:val="32"/>
          <w:szCs w:val="32"/>
        </w:rPr>
        <w:t>。</w:t>
      </w:r>
      <w:r>
        <w:rPr>
          <w:rFonts w:hint="eastAsia" w:ascii="仿宋" w:hAnsi="仿宋" w:eastAsia="仿宋" w:cs="仿宋"/>
          <w:bCs/>
          <w:color w:val="000000"/>
          <w:sz w:val="32"/>
          <w:szCs w:val="32"/>
          <w:lang w:eastAsia="zh-CN"/>
        </w:rPr>
        <w:t>三是</w:t>
      </w:r>
      <w:r>
        <w:rPr>
          <w:rFonts w:hint="eastAsia" w:ascii="仿宋" w:hAnsi="仿宋" w:eastAsia="仿宋" w:cs="仿宋"/>
          <w:bCs/>
          <w:color w:val="000000"/>
          <w:sz w:val="32"/>
          <w:szCs w:val="32"/>
        </w:rPr>
        <w:t>区级广播电视播出机构制播能力达到有效提升，广播电视综合覆盖率达到98.99%，实现74个行政村广播室做到了制度上墙、规范运行、功能发挥、基本建成了广播电视公共服务体系。</w:t>
      </w:r>
    </w:p>
    <w:p>
      <w:pPr>
        <w:keepNext w:val="0"/>
        <w:keepLines w:val="0"/>
        <w:pageBreakBefore w:val="0"/>
        <w:numPr>
          <w:ilvl w:val="0"/>
          <w:numId w:val="4"/>
        </w:numPr>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pacing w:line="600" w:lineRule="exact"/>
        <w:ind w:left="-10" w:leftChars="0" w:firstLine="640" w:firstLineChars="200"/>
        <w:outlineLvl w:val="1"/>
        <w:rPr>
          <w:rFonts w:hint="eastAsia" w:ascii="楷体_GB2312" w:hAnsi="楷体_GB2312" w:eastAsia="楷体_GB2312" w:cs="楷体_GB2312"/>
          <w:bCs/>
          <w:color w:val="000000"/>
          <w:sz w:val="32"/>
          <w:szCs w:val="32"/>
        </w:rPr>
      </w:pPr>
      <w:r>
        <w:rPr>
          <w:rFonts w:hint="eastAsia" w:ascii="楷体_GB2312" w:hAnsi="楷体_GB2312" w:eastAsia="楷体_GB2312" w:cs="楷体_GB2312"/>
          <w:bCs/>
          <w:color w:val="000000"/>
          <w:sz w:val="32"/>
          <w:szCs w:val="32"/>
        </w:rPr>
        <w:t>常抓行业监督管理</w:t>
      </w:r>
    </w:p>
    <w:p>
      <w:pPr>
        <w:keepNext w:val="0"/>
        <w:keepLines w:val="0"/>
        <w:pageBreakBefore w:val="0"/>
        <w:numPr>
          <w:ilvl w:val="0"/>
          <w:numId w:val="0"/>
        </w:numPr>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pacing w:line="600" w:lineRule="exact"/>
        <w:ind w:firstLine="640" w:firstLineChars="200"/>
        <w:rPr>
          <w:rFonts w:hint="eastAsia" w:ascii="仿宋" w:hAnsi="仿宋" w:eastAsia="仿宋" w:cs="仿宋"/>
          <w:bCs/>
          <w:color w:val="000000"/>
          <w:sz w:val="32"/>
          <w:szCs w:val="32"/>
        </w:rPr>
      </w:pPr>
      <w:r>
        <w:rPr>
          <w:rFonts w:hint="eastAsia" w:ascii="仿宋" w:hAnsi="仿宋" w:eastAsia="仿宋" w:cs="仿宋"/>
          <w:bCs/>
          <w:color w:val="000000"/>
          <w:sz w:val="32"/>
          <w:szCs w:val="32"/>
        </w:rPr>
        <w:t>严守安全底线思维，认真履行文化、体育、旅游、广电</w:t>
      </w:r>
      <w:r>
        <w:rPr>
          <w:rFonts w:hint="eastAsia" w:ascii="仿宋" w:hAnsi="仿宋" w:eastAsia="仿宋" w:cs="仿宋"/>
          <w:bCs/>
          <w:color w:val="000000"/>
          <w:sz w:val="32"/>
          <w:szCs w:val="32"/>
          <w:lang w:eastAsia="zh-CN"/>
        </w:rPr>
        <w:t>、文物五</w:t>
      </w:r>
      <w:r>
        <w:rPr>
          <w:rFonts w:hint="eastAsia" w:ascii="仿宋" w:hAnsi="仿宋" w:eastAsia="仿宋" w:cs="仿宋"/>
          <w:bCs/>
          <w:color w:val="000000"/>
          <w:sz w:val="32"/>
          <w:szCs w:val="32"/>
        </w:rPr>
        <w:t>个领域的监督管理职责，定期和不定期开展联合检查、疫情防控、消防安全、森林防灭火宣传、文旅市场专项整治百日攻坚、防灾减灾应急广播线路安全保障、网络视听“净屏”专项行动、体育赛事安全自查自纠、各行业场所和场馆建筑安全隐患排查等工作，截止目前共计各类检查</w:t>
      </w:r>
      <w:r>
        <w:rPr>
          <w:rFonts w:hint="eastAsia" w:ascii="仿宋" w:hAnsi="仿宋" w:eastAsia="仿宋" w:cs="仿宋"/>
          <w:bCs/>
          <w:color w:val="000000"/>
          <w:sz w:val="32"/>
          <w:szCs w:val="32"/>
          <w:lang w:val="en-US" w:eastAsia="zh-CN"/>
        </w:rPr>
        <w:t>50</w:t>
      </w:r>
      <w:r>
        <w:rPr>
          <w:rFonts w:hint="eastAsia" w:ascii="仿宋" w:hAnsi="仿宋" w:eastAsia="仿宋" w:cs="仿宋"/>
          <w:bCs/>
          <w:color w:val="000000"/>
          <w:sz w:val="32"/>
          <w:szCs w:val="32"/>
        </w:rPr>
        <w:t>余次、检查各类场所</w:t>
      </w:r>
      <w:r>
        <w:rPr>
          <w:rFonts w:hint="eastAsia" w:ascii="仿宋" w:hAnsi="仿宋" w:eastAsia="仿宋" w:cs="仿宋"/>
          <w:bCs/>
          <w:color w:val="000000"/>
          <w:sz w:val="32"/>
          <w:szCs w:val="32"/>
          <w:lang w:val="en-US" w:eastAsia="zh-CN"/>
        </w:rPr>
        <w:t>200</w:t>
      </w:r>
      <w:r>
        <w:rPr>
          <w:rFonts w:hint="eastAsia" w:ascii="仿宋" w:hAnsi="仿宋" w:eastAsia="仿宋" w:cs="仿宋"/>
          <w:bCs/>
          <w:color w:val="000000"/>
          <w:sz w:val="32"/>
          <w:szCs w:val="32"/>
        </w:rPr>
        <w:t>余处、出动检查人员</w:t>
      </w:r>
      <w:r>
        <w:rPr>
          <w:rFonts w:hint="eastAsia" w:ascii="仿宋" w:hAnsi="仿宋" w:eastAsia="仿宋" w:cs="仿宋"/>
          <w:bCs/>
          <w:color w:val="000000"/>
          <w:sz w:val="32"/>
          <w:szCs w:val="32"/>
          <w:lang w:val="en-US" w:eastAsia="zh-CN"/>
        </w:rPr>
        <w:t>600</w:t>
      </w:r>
      <w:r>
        <w:rPr>
          <w:rFonts w:hint="eastAsia" w:ascii="仿宋" w:hAnsi="仿宋" w:eastAsia="仿宋" w:cs="仿宋"/>
          <w:bCs/>
          <w:color w:val="000000"/>
          <w:sz w:val="32"/>
          <w:szCs w:val="32"/>
        </w:rPr>
        <w:t>余人次，创造了健康、平安、和谐的社会环境。</w:t>
      </w:r>
    </w:p>
    <w:p>
      <w:pPr>
        <w:keepNext w:val="0"/>
        <w:keepLines w:val="0"/>
        <w:pageBreakBefore w:val="0"/>
        <w:widowControl/>
        <w:kinsoku/>
        <w:wordWrap/>
        <w:overflowPunct/>
        <w:autoSpaceDE/>
        <w:autoSpaceDN/>
        <w:bidi w:val="0"/>
        <w:adjustRightInd w:val="0"/>
        <w:snapToGrid w:val="0"/>
        <w:spacing w:line="600" w:lineRule="exact"/>
        <w:ind w:firstLine="640" w:firstLineChars="200"/>
        <w:contextualSpacing/>
        <w:jc w:val="left"/>
        <w:outlineLvl w:val="0"/>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rPr>
        <w:t>四、评价结论及建议</w:t>
      </w:r>
    </w:p>
    <w:p>
      <w:pPr>
        <w:pStyle w:val="20"/>
        <w:keepNext w:val="0"/>
        <w:keepLines w:val="0"/>
        <w:pageBreakBefore w:val="0"/>
        <w:numPr>
          <w:ilvl w:val="0"/>
          <w:numId w:val="5"/>
        </w:numPr>
        <w:kinsoku/>
        <w:wordWrap/>
        <w:overflowPunct/>
        <w:topLinePunct w:val="0"/>
        <w:autoSpaceDE/>
        <w:autoSpaceDN/>
        <w:bidi w:val="0"/>
        <w:spacing w:line="600" w:lineRule="exact"/>
        <w:ind w:left="5" w:leftChars="0" w:firstLine="640" w:firstLineChars="200"/>
        <w:textAlignment w:val="auto"/>
        <w:rPr>
          <w:rFonts w:hint="eastAsia" w:ascii="仿宋" w:hAnsi="仿宋" w:eastAsia="仿宋" w:cs="仿宋"/>
          <w:sz w:val="32"/>
          <w:szCs w:val="32"/>
          <w:shd w:val="clear" w:color="auto" w:fill="FFFFFF"/>
        </w:rPr>
      </w:pPr>
      <w:r>
        <w:rPr>
          <w:rFonts w:hint="eastAsia" w:ascii="仿宋" w:hAnsi="仿宋" w:eastAsia="仿宋" w:cs="仿宋"/>
          <w:sz w:val="32"/>
          <w:szCs w:val="32"/>
          <w:shd w:val="clear" w:color="auto" w:fill="FFFFFF"/>
        </w:rPr>
        <w:t>评价结论。</w:t>
      </w:r>
    </w:p>
    <w:p>
      <w:pPr>
        <w:pStyle w:val="4"/>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rPr>
        <w:t>20</w:t>
      </w:r>
      <w:r>
        <w:rPr>
          <w:rFonts w:hint="eastAsia" w:ascii="仿宋" w:hAnsi="仿宋" w:eastAsia="仿宋" w:cs="仿宋"/>
          <w:sz w:val="32"/>
          <w:szCs w:val="32"/>
          <w:lang w:val="en-US" w:eastAsia="zh-CN"/>
        </w:rPr>
        <w:t>21</w:t>
      </w:r>
      <w:r>
        <w:rPr>
          <w:rFonts w:hint="eastAsia" w:ascii="仿宋" w:hAnsi="仿宋" w:eastAsia="仿宋" w:cs="仿宋"/>
          <w:sz w:val="32"/>
          <w:szCs w:val="32"/>
        </w:rPr>
        <w:t>年，我</w:t>
      </w:r>
      <w:r>
        <w:rPr>
          <w:rFonts w:hint="eastAsia" w:ascii="仿宋" w:hAnsi="仿宋" w:eastAsia="仿宋" w:cs="仿宋"/>
          <w:sz w:val="32"/>
          <w:szCs w:val="32"/>
          <w:lang w:eastAsia="zh-CN"/>
        </w:rPr>
        <w:t>单位</w:t>
      </w:r>
      <w:r>
        <w:rPr>
          <w:rFonts w:hint="eastAsia" w:ascii="仿宋" w:hAnsi="仿宋" w:eastAsia="仿宋" w:cs="仿宋"/>
          <w:sz w:val="32"/>
          <w:szCs w:val="32"/>
        </w:rPr>
        <w:t>预算执行规范有序，预算资金严格按照财政预算管理制度运行，严格按“新预算法”执行基本支出和项目支出，加大管控执行力度，增强支出的计划性和严肃性，合理调配资金，压缩“三公经费”，突出保障重点。</w:t>
      </w:r>
    </w:p>
    <w:p>
      <w:pPr>
        <w:keepNext w:val="0"/>
        <w:keepLines w:val="0"/>
        <w:pageBreakBefore w:val="0"/>
        <w:widowControl/>
        <w:numPr>
          <w:ilvl w:val="0"/>
          <w:numId w:val="0"/>
        </w:numPr>
        <w:kinsoku/>
        <w:wordWrap/>
        <w:overflowPunct/>
        <w:topLinePunct w:val="0"/>
        <w:autoSpaceDE/>
        <w:autoSpaceDN/>
        <w:bidi w:val="0"/>
        <w:adjustRightInd w:val="0"/>
        <w:snapToGrid w:val="0"/>
        <w:spacing w:line="600" w:lineRule="exact"/>
        <w:ind w:firstLine="640" w:firstLineChars="200"/>
        <w:contextualSpacing/>
        <w:jc w:val="left"/>
        <w:textAlignment w:val="auto"/>
        <w:outlineLvl w:val="1"/>
        <w:rPr>
          <w:rFonts w:hint="eastAsia" w:ascii="仿宋" w:hAnsi="仿宋" w:eastAsia="仿宋" w:cs="仿宋"/>
          <w:color w:val="000000"/>
          <w:kern w:val="0"/>
          <w:sz w:val="32"/>
          <w:szCs w:val="32"/>
          <w:shd w:val="clear" w:color="auto" w:fill="FFFFFF"/>
          <w:lang w:val="zh-CN"/>
        </w:rPr>
      </w:pPr>
      <w:bookmarkStart w:id="1" w:name="_Toc18140_WPSOffice_Level3"/>
      <w:r>
        <w:rPr>
          <w:rFonts w:hint="eastAsia" w:ascii="仿宋" w:hAnsi="仿宋" w:eastAsia="仿宋" w:cs="仿宋"/>
          <w:color w:val="000000"/>
          <w:kern w:val="0"/>
          <w:sz w:val="32"/>
          <w:szCs w:val="32"/>
          <w:shd w:val="clear" w:color="auto" w:fill="FFFFFF"/>
          <w:lang w:val="zh-CN"/>
        </w:rPr>
        <w:t>（二）存在问题。</w:t>
      </w:r>
      <w:bookmarkEnd w:id="1"/>
    </w:p>
    <w:p>
      <w:pPr>
        <w:pStyle w:val="4"/>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 w:hAnsi="仿宋" w:eastAsia="仿宋" w:cs="仿宋"/>
          <w:sz w:val="32"/>
          <w:szCs w:val="32"/>
          <w:lang w:val="zh-CN"/>
        </w:rPr>
      </w:pPr>
      <w:r>
        <w:rPr>
          <w:rFonts w:hint="eastAsia" w:ascii="仿宋" w:hAnsi="仿宋" w:eastAsia="仿宋" w:cs="仿宋"/>
          <w:sz w:val="32"/>
          <w:szCs w:val="32"/>
          <w:lang w:val="zh-CN"/>
        </w:rPr>
        <w:t>预算调整执行、决算编制工作有待完善，上级项目进展稍缓慢，导致资金拨付缓慢，项目资金也存在跨年度支付。</w:t>
      </w:r>
    </w:p>
    <w:p>
      <w:pPr>
        <w:keepNext w:val="0"/>
        <w:keepLines w:val="0"/>
        <w:pageBreakBefore w:val="0"/>
        <w:widowControl/>
        <w:numPr>
          <w:ilvl w:val="0"/>
          <w:numId w:val="2"/>
        </w:numPr>
        <w:kinsoku/>
        <w:wordWrap/>
        <w:overflowPunct/>
        <w:topLinePunct w:val="0"/>
        <w:autoSpaceDE/>
        <w:autoSpaceDN/>
        <w:bidi w:val="0"/>
        <w:adjustRightInd w:val="0"/>
        <w:snapToGrid w:val="0"/>
        <w:spacing w:line="600" w:lineRule="exact"/>
        <w:ind w:firstLine="640" w:firstLineChars="200"/>
        <w:contextualSpacing/>
        <w:jc w:val="left"/>
        <w:textAlignment w:val="auto"/>
        <w:outlineLvl w:val="1"/>
        <w:rPr>
          <w:rFonts w:hint="eastAsia" w:ascii="仿宋" w:hAnsi="仿宋" w:eastAsia="仿宋" w:cs="仿宋"/>
          <w:color w:val="000000"/>
          <w:kern w:val="0"/>
          <w:sz w:val="32"/>
          <w:szCs w:val="32"/>
          <w:shd w:val="clear" w:color="auto" w:fill="FFFFFF"/>
          <w:lang w:val="zh-CN"/>
        </w:rPr>
      </w:pPr>
      <w:bookmarkStart w:id="2" w:name="_Toc8733_WPSOffice_Level3"/>
      <w:r>
        <w:rPr>
          <w:rFonts w:hint="eastAsia" w:ascii="仿宋" w:hAnsi="仿宋" w:eastAsia="仿宋" w:cs="仿宋"/>
          <w:color w:val="000000"/>
          <w:kern w:val="0"/>
          <w:sz w:val="32"/>
          <w:szCs w:val="32"/>
          <w:shd w:val="clear" w:color="auto" w:fill="FFFFFF"/>
          <w:lang w:val="zh-CN"/>
        </w:rPr>
        <w:t>改进建议。</w:t>
      </w:r>
      <w:bookmarkEnd w:id="2"/>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细化预算编制工作，认真做好预算的编制。进一步加强单位内部机构各股室的预算管理意识，严格按照预算编制的相关制度和要求进行预算编制；全面编制预算项目，优先保障固定性的、相对刚性的费用支出项目，尽量压缩变动性的、有控制空间的费用项目，进一步提高预算编制的科学性、严谨性和可控性。加强内部预算编制的审核和预算控制指标的下达。</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2、完善资产管理，抓好“三公”经费控制。</w:t>
      </w:r>
    </w:p>
    <w:p>
      <w:pPr>
        <w:keepNext w:val="0"/>
        <w:keepLines w:val="0"/>
        <w:pageBreakBefore w:val="0"/>
        <w:kinsoku/>
        <w:wordWrap/>
        <w:overflowPunct/>
        <w:topLinePunct w:val="0"/>
        <w:autoSpaceDE/>
        <w:autoSpaceDN/>
        <w:bidi w:val="0"/>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3、对相关人员加强培训，特别是针对《新预算法》、《行政事业单位会计制度》等学习培训，规范部门预算收支核算，切实提高部门预算收支管理水平。</w:t>
      </w:r>
    </w:p>
    <w:p/>
    <w:p>
      <w:pPr>
        <w:widowControl/>
        <w:adjustRightInd w:val="0"/>
        <w:snapToGrid w:val="0"/>
        <w:spacing w:line="580" w:lineRule="exact"/>
        <w:ind w:firstLine="640" w:firstLineChars="200"/>
        <w:contextualSpacing/>
        <w:jc w:val="left"/>
        <w:rPr>
          <w:rFonts w:hint="eastAsia" w:ascii="仿宋" w:hAnsi="仿宋" w:eastAsia="仿宋" w:cs="仿宋"/>
          <w:color w:val="000000"/>
          <w:kern w:val="0"/>
          <w:szCs w:val="32"/>
          <w:shd w:val="clear" w:color="auto" w:fill="FFFFFF"/>
          <w:lang w:val="zh-CN"/>
        </w:rPr>
      </w:pPr>
    </w:p>
    <w:sectPr>
      <w:headerReference r:id="rId3" w:type="default"/>
      <w:footerReference r:id="rId4" w:type="even"/>
      <w:pgSz w:w="11906" w:h="16838"/>
      <w:pgMar w:top="907" w:right="1361" w:bottom="851" w:left="1361" w:header="851" w:footer="992" w:gutter="0"/>
      <w:pgNumType w:fmt="numberInDash" w:start="12"/>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
    <w:altName w:val="Times New Roman"/>
    <w:panose1 w:val="00000000000000000000"/>
    <w:charset w:val="00"/>
    <w:family w:val="roman"/>
    <w:pitch w:val="default"/>
    <w:sig w:usb0="00000000" w:usb1="00000000" w:usb2="00000000"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方正黑体_GBK">
    <w:altName w:val="微软雅黑"/>
    <w:panose1 w:val="00000000000000000000"/>
    <w:charset w:val="86"/>
    <w:family w:val="auto"/>
    <w:pitch w:val="default"/>
    <w:sig w:usb0="00000000" w:usb1="00000000" w:usb2="00000000" w:usb3="00000000" w:csb0="00040000" w:csb1="00000000"/>
  </w:font>
  <w:font w:name="方正小标宋简体">
    <w:altName w:val="宋体-方正超大字符集"/>
    <w:panose1 w:val="00000000000000000000"/>
    <w:charset w:val="86"/>
    <w:family w:val="script"/>
    <w:pitch w:val="default"/>
    <w:sig w:usb0="00000000" w:usb1="00000000" w:usb2="00000000" w:usb3="00000000" w:csb0="00040000" w:csb1="00000000"/>
  </w:font>
  <w:font w:name="方正仿宋_GBK">
    <w:altName w:val="微软雅黑"/>
    <w:panose1 w:val="00000000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imesNewRomanPSMT">
    <w:altName w:val="Times New Roman"/>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宋体-方正超大字符集">
    <w:panose1 w:val="03000509000000000000"/>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sz w:val="28"/>
        <w:szCs w:val="28"/>
        <w:lang w:val="zh-CN"/>
      </w:rPr>
      <w:t>-</w:t>
    </w:r>
    <w:r>
      <w:rPr>
        <w:rFonts w:ascii="宋体" w:hAnsi="宋体"/>
        <w:sz w:val="28"/>
        <w:szCs w:val="28"/>
      </w:rPr>
      <w:t xml:space="preserve"> 12 -</w:t>
    </w:r>
    <w:r>
      <w:rPr>
        <w:rFonts w:ascii="宋体" w:hAnsi="宋体"/>
        <w:sz w:val="28"/>
        <w:szCs w:val="28"/>
      </w:rPr>
      <w:fldChar w:fldCharType="end"/>
    </w:r>
  </w:p>
  <w:p>
    <w:pPr>
      <w:pStyle w:val="7"/>
      <w:tabs>
        <w:tab w:val="right" w:pos="9184"/>
        <w:tab w:val="clear" w:pos="4153"/>
        <w:tab w:val="clear" w:pos="8306"/>
      </w:tabs>
      <w:rPr>
        <w:rFonts w:ascii="宋体"/>
        <w:sz w:val="28"/>
        <w:szCs w:val="2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0017B4"/>
    <w:multiLevelType w:val="singleLevel"/>
    <w:tmpl w:val="9D0017B4"/>
    <w:lvl w:ilvl="0" w:tentative="0">
      <w:start w:val="2"/>
      <w:numFmt w:val="chineseCounting"/>
      <w:suff w:val="nothing"/>
      <w:lvlText w:val="（%1）"/>
      <w:lvlJc w:val="left"/>
      <w:rPr>
        <w:rFonts w:hint="eastAsia"/>
      </w:rPr>
    </w:lvl>
  </w:abstractNum>
  <w:abstractNum w:abstractNumId="1">
    <w:nsid w:val="F5626601"/>
    <w:multiLevelType w:val="singleLevel"/>
    <w:tmpl w:val="F5626601"/>
    <w:lvl w:ilvl="0" w:tentative="0">
      <w:start w:val="4"/>
      <w:numFmt w:val="chineseCounting"/>
      <w:suff w:val="nothing"/>
      <w:lvlText w:val="（%1）"/>
      <w:lvlJc w:val="left"/>
      <w:pPr>
        <w:ind w:left="-9"/>
      </w:pPr>
      <w:rPr>
        <w:rFonts w:hint="eastAsia"/>
      </w:rPr>
    </w:lvl>
  </w:abstractNum>
  <w:abstractNum w:abstractNumId="2">
    <w:nsid w:val="03885CC8"/>
    <w:multiLevelType w:val="singleLevel"/>
    <w:tmpl w:val="03885CC8"/>
    <w:lvl w:ilvl="0" w:tentative="0">
      <w:start w:val="6"/>
      <w:numFmt w:val="chineseCounting"/>
      <w:suff w:val="nothing"/>
      <w:lvlText w:val="（%1）"/>
      <w:lvlJc w:val="left"/>
      <w:pPr>
        <w:ind w:left="-10"/>
      </w:pPr>
      <w:rPr>
        <w:rFonts w:hint="eastAsia"/>
      </w:rPr>
    </w:lvl>
  </w:abstractNum>
  <w:abstractNum w:abstractNumId="3">
    <w:nsid w:val="7EE55BF3"/>
    <w:multiLevelType w:val="multilevel"/>
    <w:tmpl w:val="7EE55BF3"/>
    <w:lvl w:ilvl="0" w:tentative="0">
      <w:start w:val="1"/>
      <w:numFmt w:val="chineseCountingThousand"/>
      <w:pStyle w:val="20"/>
      <w:suff w:val="nothing"/>
      <w:lvlText w:val="（%1）"/>
      <w:lvlJc w:val="left"/>
      <w:pPr>
        <w:ind w:left="5" w:firstLine="635"/>
      </w:pPr>
      <w:rPr>
        <w:rFonts w:hint="eastAsia"/>
      </w:rPr>
    </w:lvl>
    <w:lvl w:ilvl="1" w:tentative="0">
      <w:start w:val="1"/>
      <w:numFmt w:val="decimal"/>
      <w:lvlText w:val="%2."/>
      <w:lvlJc w:val="left"/>
      <w:pPr>
        <w:ind w:left="985" w:hanging="360"/>
      </w:pPr>
      <w:rPr>
        <w:rFonts w:hint="default"/>
      </w:rPr>
    </w:lvl>
    <w:lvl w:ilvl="2" w:tentative="0">
      <w:start w:val="1"/>
      <w:numFmt w:val="lowerRoman"/>
      <w:lvlText w:val="%3."/>
      <w:lvlJc w:val="right"/>
      <w:pPr>
        <w:ind w:left="1465" w:hanging="420"/>
      </w:pPr>
    </w:lvl>
    <w:lvl w:ilvl="3" w:tentative="0">
      <w:start w:val="1"/>
      <w:numFmt w:val="decimal"/>
      <w:lvlText w:val="%4."/>
      <w:lvlJc w:val="left"/>
      <w:pPr>
        <w:ind w:left="1885" w:hanging="420"/>
      </w:pPr>
    </w:lvl>
    <w:lvl w:ilvl="4" w:tentative="0">
      <w:start w:val="1"/>
      <w:numFmt w:val="lowerLetter"/>
      <w:lvlText w:val="%5)"/>
      <w:lvlJc w:val="left"/>
      <w:pPr>
        <w:ind w:left="2305" w:hanging="420"/>
      </w:pPr>
    </w:lvl>
    <w:lvl w:ilvl="5" w:tentative="0">
      <w:start w:val="1"/>
      <w:numFmt w:val="lowerRoman"/>
      <w:lvlText w:val="%6."/>
      <w:lvlJc w:val="right"/>
      <w:pPr>
        <w:ind w:left="2725" w:hanging="420"/>
      </w:pPr>
    </w:lvl>
    <w:lvl w:ilvl="6" w:tentative="0">
      <w:start w:val="1"/>
      <w:numFmt w:val="decimal"/>
      <w:lvlText w:val="%7."/>
      <w:lvlJc w:val="left"/>
      <w:pPr>
        <w:ind w:left="3145" w:hanging="420"/>
      </w:pPr>
    </w:lvl>
    <w:lvl w:ilvl="7" w:tentative="0">
      <w:start w:val="1"/>
      <w:numFmt w:val="lowerLetter"/>
      <w:lvlText w:val="%8)"/>
      <w:lvlJc w:val="left"/>
      <w:pPr>
        <w:ind w:left="3565" w:hanging="420"/>
      </w:pPr>
    </w:lvl>
    <w:lvl w:ilvl="8" w:tentative="0">
      <w:start w:val="1"/>
      <w:numFmt w:val="lowerRoman"/>
      <w:lvlText w:val="%9."/>
      <w:lvlJc w:val="right"/>
      <w:pPr>
        <w:ind w:left="3985" w:hanging="420"/>
      </w:pPr>
    </w:lvl>
  </w:abstractNum>
  <w:num w:numId="1">
    <w:abstractNumId w:val="3"/>
  </w:num>
  <w:num w:numId="2">
    <w:abstractNumId w:val="0"/>
  </w:num>
  <w:num w:numId="3">
    <w:abstractNumId w:val="1"/>
  </w:num>
  <w:num w:numId="4">
    <w:abstractNumId w:val="2"/>
  </w:num>
  <w:num w:numId="5">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EC0174"/>
    <w:rsid w:val="00006E4D"/>
    <w:rsid w:val="00021652"/>
    <w:rsid w:val="00030311"/>
    <w:rsid w:val="00030782"/>
    <w:rsid w:val="00030B66"/>
    <w:rsid w:val="0006068D"/>
    <w:rsid w:val="0006102A"/>
    <w:rsid w:val="00065B0F"/>
    <w:rsid w:val="00065E7E"/>
    <w:rsid w:val="000820BB"/>
    <w:rsid w:val="0008241B"/>
    <w:rsid w:val="00092280"/>
    <w:rsid w:val="00097FAE"/>
    <w:rsid w:val="000A3233"/>
    <w:rsid w:val="000A7486"/>
    <w:rsid w:val="000A7CE3"/>
    <w:rsid w:val="000B04D6"/>
    <w:rsid w:val="000B15CE"/>
    <w:rsid w:val="000C40C6"/>
    <w:rsid w:val="000C79C1"/>
    <w:rsid w:val="000D208A"/>
    <w:rsid w:val="000D3476"/>
    <w:rsid w:val="000E037E"/>
    <w:rsid w:val="000F659A"/>
    <w:rsid w:val="000F77B0"/>
    <w:rsid w:val="0010235D"/>
    <w:rsid w:val="00103A47"/>
    <w:rsid w:val="00106D4D"/>
    <w:rsid w:val="001119A2"/>
    <w:rsid w:val="001221D6"/>
    <w:rsid w:val="0012510A"/>
    <w:rsid w:val="00125F67"/>
    <w:rsid w:val="001261AE"/>
    <w:rsid w:val="001348A4"/>
    <w:rsid w:val="0014117C"/>
    <w:rsid w:val="00146FE8"/>
    <w:rsid w:val="0014767B"/>
    <w:rsid w:val="00147AED"/>
    <w:rsid w:val="00154C87"/>
    <w:rsid w:val="00177AAF"/>
    <w:rsid w:val="00183850"/>
    <w:rsid w:val="00184D9F"/>
    <w:rsid w:val="001A4749"/>
    <w:rsid w:val="001A4842"/>
    <w:rsid w:val="001A5833"/>
    <w:rsid w:val="001C2158"/>
    <w:rsid w:val="001C51F2"/>
    <w:rsid w:val="001C73AB"/>
    <w:rsid w:val="001D2EA4"/>
    <w:rsid w:val="001F47CE"/>
    <w:rsid w:val="001F5776"/>
    <w:rsid w:val="0020620D"/>
    <w:rsid w:val="002069BC"/>
    <w:rsid w:val="002069EB"/>
    <w:rsid w:val="002201B0"/>
    <w:rsid w:val="00220900"/>
    <w:rsid w:val="0022307E"/>
    <w:rsid w:val="00224D05"/>
    <w:rsid w:val="002323A3"/>
    <w:rsid w:val="00236EF7"/>
    <w:rsid w:val="0024058A"/>
    <w:rsid w:val="002410C0"/>
    <w:rsid w:val="00252894"/>
    <w:rsid w:val="00253FA6"/>
    <w:rsid w:val="00254728"/>
    <w:rsid w:val="002550E7"/>
    <w:rsid w:val="002558D4"/>
    <w:rsid w:val="002560E2"/>
    <w:rsid w:val="00264CFA"/>
    <w:rsid w:val="00270DD7"/>
    <w:rsid w:val="00276F4A"/>
    <w:rsid w:val="00280BFB"/>
    <w:rsid w:val="00280C88"/>
    <w:rsid w:val="002973A4"/>
    <w:rsid w:val="002A0195"/>
    <w:rsid w:val="002B5B34"/>
    <w:rsid w:val="002B6906"/>
    <w:rsid w:val="002B7215"/>
    <w:rsid w:val="002C0AFD"/>
    <w:rsid w:val="002C59D0"/>
    <w:rsid w:val="002D1A18"/>
    <w:rsid w:val="002D6C79"/>
    <w:rsid w:val="002E1104"/>
    <w:rsid w:val="002E3FDD"/>
    <w:rsid w:val="00300EF4"/>
    <w:rsid w:val="00301353"/>
    <w:rsid w:val="00305FF6"/>
    <w:rsid w:val="00307568"/>
    <w:rsid w:val="00311506"/>
    <w:rsid w:val="00316ADB"/>
    <w:rsid w:val="00317623"/>
    <w:rsid w:val="00335F67"/>
    <w:rsid w:val="003361E9"/>
    <w:rsid w:val="00350A65"/>
    <w:rsid w:val="00352164"/>
    <w:rsid w:val="00361C85"/>
    <w:rsid w:val="00371352"/>
    <w:rsid w:val="00376753"/>
    <w:rsid w:val="0038541D"/>
    <w:rsid w:val="00385E33"/>
    <w:rsid w:val="00387818"/>
    <w:rsid w:val="00391A13"/>
    <w:rsid w:val="00391FD0"/>
    <w:rsid w:val="003A44FC"/>
    <w:rsid w:val="003B3299"/>
    <w:rsid w:val="003D10A2"/>
    <w:rsid w:val="003D33B8"/>
    <w:rsid w:val="003D624D"/>
    <w:rsid w:val="003D719A"/>
    <w:rsid w:val="003F5EB7"/>
    <w:rsid w:val="003F7FE2"/>
    <w:rsid w:val="004004E7"/>
    <w:rsid w:val="00401C7A"/>
    <w:rsid w:val="00416E1A"/>
    <w:rsid w:val="00426A3F"/>
    <w:rsid w:val="004277D4"/>
    <w:rsid w:val="00450984"/>
    <w:rsid w:val="00461638"/>
    <w:rsid w:val="004706FA"/>
    <w:rsid w:val="00474D8D"/>
    <w:rsid w:val="00475CCD"/>
    <w:rsid w:val="00477266"/>
    <w:rsid w:val="004811BC"/>
    <w:rsid w:val="004838F2"/>
    <w:rsid w:val="00486492"/>
    <w:rsid w:val="00492CF6"/>
    <w:rsid w:val="004A4C9D"/>
    <w:rsid w:val="004C2078"/>
    <w:rsid w:val="004C228F"/>
    <w:rsid w:val="004E752F"/>
    <w:rsid w:val="004F1E37"/>
    <w:rsid w:val="00515198"/>
    <w:rsid w:val="00521C44"/>
    <w:rsid w:val="005274E1"/>
    <w:rsid w:val="00531DDF"/>
    <w:rsid w:val="00535FA6"/>
    <w:rsid w:val="00537DB9"/>
    <w:rsid w:val="00542AB7"/>
    <w:rsid w:val="0055358D"/>
    <w:rsid w:val="005540C8"/>
    <w:rsid w:val="00555809"/>
    <w:rsid w:val="00562165"/>
    <w:rsid w:val="005756AF"/>
    <w:rsid w:val="00575A4A"/>
    <w:rsid w:val="00591B6F"/>
    <w:rsid w:val="005A1DAF"/>
    <w:rsid w:val="005A67BD"/>
    <w:rsid w:val="005C17C8"/>
    <w:rsid w:val="005C2098"/>
    <w:rsid w:val="005C2E6C"/>
    <w:rsid w:val="005D0CCF"/>
    <w:rsid w:val="005D1C01"/>
    <w:rsid w:val="005D5BEE"/>
    <w:rsid w:val="005E297D"/>
    <w:rsid w:val="005E3F12"/>
    <w:rsid w:val="005F627E"/>
    <w:rsid w:val="0061652E"/>
    <w:rsid w:val="006205E9"/>
    <w:rsid w:val="00622D0B"/>
    <w:rsid w:val="006270DA"/>
    <w:rsid w:val="00630B75"/>
    <w:rsid w:val="00634DFF"/>
    <w:rsid w:val="00635337"/>
    <w:rsid w:val="0064265B"/>
    <w:rsid w:val="0064519C"/>
    <w:rsid w:val="0065082E"/>
    <w:rsid w:val="006512D0"/>
    <w:rsid w:val="006560A3"/>
    <w:rsid w:val="00656301"/>
    <w:rsid w:val="006600C9"/>
    <w:rsid w:val="006701CC"/>
    <w:rsid w:val="00671F58"/>
    <w:rsid w:val="006762A4"/>
    <w:rsid w:val="006900E7"/>
    <w:rsid w:val="006A00A8"/>
    <w:rsid w:val="006A482D"/>
    <w:rsid w:val="006B11E0"/>
    <w:rsid w:val="006B386A"/>
    <w:rsid w:val="006B7CB4"/>
    <w:rsid w:val="006C24D3"/>
    <w:rsid w:val="006C7917"/>
    <w:rsid w:val="006E51AE"/>
    <w:rsid w:val="0070081F"/>
    <w:rsid w:val="007018F5"/>
    <w:rsid w:val="00710897"/>
    <w:rsid w:val="00712F45"/>
    <w:rsid w:val="00734305"/>
    <w:rsid w:val="007370E1"/>
    <w:rsid w:val="00737684"/>
    <w:rsid w:val="007732A1"/>
    <w:rsid w:val="007739D4"/>
    <w:rsid w:val="00774C4A"/>
    <w:rsid w:val="00782BBB"/>
    <w:rsid w:val="007A0690"/>
    <w:rsid w:val="007A078F"/>
    <w:rsid w:val="007B34D4"/>
    <w:rsid w:val="007C0633"/>
    <w:rsid w:val="007D086C"/>
    <w:rsid w:val="007F1BE1"/>
    <w:rsid w:val="007F707F"/>
    <w:rsid w:val="007F794C"/>
    <w:rsid w:val="007F7AC9"/>
    <w:rsid w:val="00803B42"/>
    <w:rsid w:val="008073EF"/>
    <w:rsid w:val="0081095C"/>
    <w:rsid w:val="00810C41"/>
    <w:rsid w:val="008212FF"/>
    <w:rsid w:val="0082593B"/>
    <w:rsid w:val="00827537"/>
    <w:rsid w:val="00830A05"/>
    <w:rsid w:val="0083462A"/>
    <w:rsid w:val="008468EA"/>
    <w:rsid w:val="00867140"/>
    <w:rsid w:val="00881134"/>
    <w:rsid w:val="008904F0"/>
    <w:rsid w:val="008B2F27"/>
    <w:rsid w:val="008B4A72"/>
    <w:rsid w:val="008B585E"/>
    <w:rsid w:val="008E6C0C"/>
    <w:rsid w:val="008F1E63"/>
    <w:rsid w:val="008F3052"/>
    <w:rsid w:val="00901E19"/>
    <w:rsid w:val="009214F7"/>
    <w:rsid w:val="00921CD7"/>
    <w:rsid w:val="00940EB6"/>
    <w:rsid w:val="00944771"/>
    <w:rsid w:val="009601FC"/>
    <w:rsid w:val="00965426"/>
    <w:rsid w:val="0096654A"/>
    <w:rsid w:val="009711E4"/>
    <w:rsid w:val="00971572"/>
    <w:rsid w:val="00981E55"/>
    <w:rsid w:val="00986CEF"/>
    <w:rsid w:val="00987212"/>
    <w:rsid w:val="009A0E5F"/>
    <w:rsid w:val="009F1AF3"/>
    <w:rsid w:val="009F233E"/>
    <w:rsid w:val="00A024AB"/>
    <w:rsid w:val="00A050A5"/>
    <w:rsid w:val="00A05B8B"/>
    <w:rsid w:val="00A1372F"/>
    <w:rsid w:val="00A170EC"/>
    <w:rsid w:val="00A217B3"/>
    <w:rsid w:val="00A23D04"/>
    <w:rsid w:val="00A277D9"/>
    <w:rsid w:val="00A30CEB"/>
    <w:rsid w:val="00A31318"/>
    <w:rsid w:val="00A5432A"/>
    <w:rsid w:val="00A55F8A"/>
    <w:rsid w:val="00A9670E"/>
    <w:rsid w:val="00AA1423"/>
    <w:rsid w:val="00AB7996"/>
    <w:rsid w:val="00AC43C3"/>
    <w:rsid w:val="00AE2EAD"/>
    <w:rsid w:val="00AF77BE"/>
    <w:rsid w:val="00B11CEE"/>
    <w:rsid w:val="00B23428"/>
    <w:rsid w:val="00B264BF"/>
    <w:rsid w:val="00B42E74"/>
    <w:rsid w:val="00B46874"/>
    <w:rsid w:val="00B50E8F"/>
    <w:rsid w:val="00B51151"/>
    <w:rsid w:val="00B523E4"/>
    <w:rsid w:val="00B52B4F"/>
    <w:rsid w:val="00B6108C"/>
    <w:rsid w:val="00B649AD"/>
    <w:rsid w:val="00B64B9C"/>
    <w:rsid w:val="00B67A3E"/>
    <w:rsid w:val="00B735CC"/>
    <w:rsid w:val="00B82C95"/>
    <w:rsid w:val="00B83F87"/>
    <w:rsid w:val="00B84DFD"/>
    <w:rsid w:val="00BB4E38"/>
    <w:rsid w:val="00BC3879"/>
    <w:rsid w:val="00BD0E0D"/>
    <w:rsid w:val="00BD41BC"/>
    <w:rsid w:val="00BD55AD"/>
    <w:rsid w:val="00BD7047"/>
    <w:rsid w:val="00BE0305"/>
    <w:rsid w:val="00BF15F0"/>
    <w:rsid w:val="00BF7DF9"/>
    <w:rsid w:val="00C03559"/>
    <w:rsid w:val="00C05395"/>
    <w:rsid w:val="00C22AD7"/>
    <w:rsid w:val="00C272C1"/>
    <w:rsid w:val="00C32A68"/>
    <w:rsid w:val="00C34282"/>
    <w:rsid w:val="00C35350"/>
    <w:rsid w:val="00C3564B"/>
    <w:rsid w:val="00C41851"/>
    <w:rsid w:val="00C53721"/>
    <w:rsid w:val="00C64D2E"/>
    <w:rsid w:val="00C70F97"/>
    <w:rsid w:val="00C7497C"/>
    <w:rsid w:val="00C757A2"/>
    <w:rsid w:val="00C75966"/>
    <w:rsid w:val="00C76577"/>
    <w:rsid w:val="00C80225"/>
    <w:rsid w:val="00C81349"/>
    <w:rsid w:val="00C93139"/>
    <w:rsid w:val="00CA08A0"/>
    <w:rsid w:val="00CA32D2"/>
    <w:rsid w:val="00CA4E07"/>
    <w:rsid w:val="00CA737D"/>
    <w:rsid w:val="00CB1EF5"/>
    <w:rsid w:val="00CC05D4"/>
    <w:rsid w:val="00CC7166"/>
    <w:rsid w:val="00CF5275"/>
    <w:rsid w:val="00CF6136"/>
    <w:rsid w:val="00D0023D"/>
    <w:rsid w:val="00D006C6"/>
    <w:rsid w:val="00D14A65"/>
    <w:rsid w:val="00D162B9"/>
    <w:rsid w:val="00D251E2"/>
    <w:rsid w:val="00D254F4"/>
    <w:rsid w:val="00D263A7"/>
    <w:rsid w:val="00D26B5D"/>
    <w:rsid w:val="00D33159"/>
    <w:rsid w:val="00D33A19"/>
    <w:rsid w:val="00D349F5"/>
    <w:rsid w:val="00D355B5"/>
    <w:rsid w:val="00D43DC3"/>
    <w:rsid w:val="00D51791"/>
    <w:rsid w:val="00D5281E"/>
    <w:rsid w:val="00D6531B"/>
    <w:rsid w:val="00D6612D"/>
    <w:rsid w:val="00D71AD9"/>
    <w:rsid w:val="00D73C02"/>
    <w:rsid w:val="00D77D81"/>
    <w:rsid w:val="00D8170D"/>
    <w:rsid w:val="00D872ED"/>
    <w:rsid w:val="00D913C6"/>
    <w:rsid w:val="00DA0236"/>
    <w:rsid w:val="00DA5D51"/>
    <w:rsid w:val="00DA5E29"/>
    <w:rsid w:val="00DA61CA"/>
    <w:rsid w:val="00DB66BB"/>
    <w:rsid w:val="00DB73AF"/>
    <w:rsid w:val="00DC2865"/>
    <w:rsid w:val="00DD0894"/>
    <w:rsid w:val="00DD12DB"/>
    <w:rsid w:val="00DE1888"/>
    <w:rsid w:val="00DF1250"/>
    <w:rsid w:val="00DF6EF7"/>
    <w:rsid w:val="00E05454"/>
    <w:rsid w:val="00E074C3"/>
    <w:rsid w:val="00E23329"/>
    <w:rsid w:val="00E24D6D"/>
    <w:rsid w:val="00E341B2"/>
    <w:rsid w:val="00E42633"/>
    <w:rsid w:val="00E5699E"/>
    <w:rsid w:val="00E570E1"/>
    <w:rsid w:val="00E70BEA"/>
    <w:rsid w:val="00E72773"/>
    <w:rsid w:val="00E76739"/>
    <w:rsid w:val="00E81946"/>
    <w:rsid w:val="00E82BB7"/>
    <w:rsid w:val="00E86D13"/>
    <w:rsid w:val="00E936C2"/>
    <w:rsid w:val="00E95346"/>
    <w:rsid w:val="00EA0CEF"/>
    <w:rsid w:val="00EA2E2A"/>
    <w:rsid w:val="00EB79D2"/>
    <w:rsid w:val="00EC0174"/>
    <w:rsid w:val="00ED3EEB"/>
    <w:rsid w:val="00ED5749"/>
    <w:rsid w:val="00ED5FA3"/>
    <w:rsid w:val="00ED68C4"/>
    <w:rsid w:val="00ED6A4E"/>
    <w:rsid w:val="00ED72EA"/>
    <w:rsid w:val="00EE3A4F"/>
    <w:rsid w:val="00EF10C3"/>
    <w:rsid w:val="00EF3BD2"/>
    <w:rsid w:val="00F16BCE"/>
    <w:rsid w:val="00F45DA1"/>
    <w:rsid w:val="00F5267B"/>
    <w:rsid w:val="00F53E8B"/>
    <w:rsid w:val="00F663FD"/>
    <w:rsid w:val="00F743B0"/>
    <w:rsid w:val="00F82409"/>
    <w:rsid w:val="00F8264F"/>
    <w:rsid w:val="00F833E9"/>
    <w:rsid w:val="00F84580"/>
    <w:rsid w:val="00F873DA"/>
    <w:rsid w:val="00F95982"/>
    <w:rsid w:val="00FA006C"/>
    <w:rsid w:val="00FA190E"/>
    <w:rsid w:val="00FA288B"/>
    <w:rsid w:val="00FA2997"/>
    <w:rsid w:val="00FA2C71"/>
    <w:rsid w:val="00FB3345"/>
    <w:rsid w:val="00FD0228"/>
    <w:rsid w:val="00FD3BB7"/>
    <w:rsid w:val="00FE0D93"/>
    <w:rsid w:val="00FF2572"/>
    <w:rsid w:val="00FF32AD"/>
    <w:rsid w:val="03946B2A"/>
    <w:rsid w:val="0B7B4DA9"/>
    <w:rsid w:val="13C35F28"/>
    <w:rsid w:val="19927F78"/>
    <w:rsid w:val="21AE59D8"/>
    <w:rsid w:val="286F56EA"/>
    <w:rsid w:val="2D527252"/>
    <w:rsid w:val="329102D6"/>
    <w:rsid w:val="3A9520B3"/>
    <w:rsid w:val="3DE562B7"/>
    <w:rsid w:val="3E6507EA"/>
    <w:rsid w:val="44312BA2"/>
    <w:rsid w:val="47550EBA"/>
    <w:rsid w:val="4FBC452D"/>
    <w:rsid w:val="50BB3388"/>
    <w:rsid w:val="627C5895"/>
    <w:rsid w:val="6636451A"/>
    <w:rsid w:val="6BE94116"/>
    <w:rsid w:val="78916378"/>
    <w:rsid w:val="7A9D0D9E"/>
    <w:rsid w:val="7BC20073"/>
    <w:rsid w:val="7C631402"/>
    <w:rsid w:val="7DCC0F6E"/>
    <w:rsid w:val="7E140770"/>
    <w:rsid w:val="9BFF62CB"/>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ocked="1"/>
    <w:lsdException w:uiPriority="99" w:name="Closing" w:locked="1"/>
    <w:lsdException w:uiPriority="99" w:name="Signature" w:locked="1"/>
    <w:lsdException w:qFormat="1" w:uiPriority="1" w:name="Default Paragraph Font"/>
    <w:lsdException w:qFormat="1" w:unhideWhenUsed="0" w:uiPriority="1" w:semiHidden="0"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qFormat="1" w:unhideWhenUsed="0" w:uiPriority="99" w:semiHidden="0"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qFormat="1" w:unhideWhenUsed="0" w:uiPriority="99" w:semiHidden="0" w:name="Document Map"/>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locked/>
    <w:uiPriority w:val="99"/>
    <w:pPr>
      <w:spacing w:before="240" w:after="60"/>
      <w:jc w:val="center"/>
      <w:outlineLvl w:val="0"/>
    </w:pPr>
    <w:rPr>
      <w:rFonts w:ascii="Arial" w:hAnsi="Arial" w:cs="Arial"/>
      <w:b/>
      <w:bCs/>
    </w:rPr>
  </w:style>
  <w:style w:type="paragraph" w:styleId="3">
    <w:name w:val="Document Map"/>
    <w:basedOn w:val="1"/>
    <w:link w:val="13"/>
    <w:qFormat/>
    <w:uiPriority w:val="99"/>
    <w:rPr>
      <w:rFonts w:ascii="宋体"/>
      <w:sz w:val="18"/>
      <w:szCs w:val="18"/>
    </w:rPr>
  </w:style>
  <w:style w:type="paragraph" w:styleId="4">
    <w:name w:val="Salutation"/>
    <w:basedOn w:val="1"/>
    <w:next w:val="1"/>
    <w:qFormat/>
    <w:locked/>
    <w:uiPriority w:val="99"/>
  </w:style>
  <w:style w:type="paragraph" w:styleId="5">
    <w:name w:val="Body Text"/>
    <w:basedOn w:val="1"/>
    <w:qFormat/>
    <w:locked/>
    <w:uiPriority w:val="1"/>
    <w:rPr>
      <w:sz w:val="32"/>
      <w:szCs w:val="32"/>
    </w:rPr>
  </w:style>
  <w:style w:type="paragraph" w:styleId="6">
    <w:name w:val="Balloon Text"/>
    <w:basedOn w:val="1"/>
    <w:link w:val="14"/>
    <w:semiHidden/>
    <w:qFormat/>
    <w:uiPriority w:val="99"/>
    <w:rPr>
      <w:sz w:val="18"/>
      <w:szCs w:val="18"/>
    </w:rPr>
  </w:style>
  <w:style w:type="paragraph" w:styleId="7">
    <w:name w:val="footer"/>
    <w:basedOn w:val="1"/>
    <w:link w:val="15"/>
    <w:qFormat/>
    <w:uiPriority w:val="99"/>
    <w:pPr>
      <w:tabs>
        <w:tab w:val="center" w:pos="4153"/>
        <w:tab w:val="right" w:pos="8306"/>
      </w:tabs>
      <w:snapToGrid w:val="0"/>
      <w:jc w:val="left"/>
    </w:pPr>
    <w:rPr>
      <w:sz w:val="18"/>
      <w:szCs w:val="18"/>
    </w:rPr>
  </w:style>
  <w:style w:type="paragraph" w:styleId="8">
    <w:name w:val="header"/>
    <w:basedOn w:val="1"/>
    <w:link w:val="16"/>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qFormat/>
    <w:uiPriority w:val="99"/>
    <w:rPr>
      <w:rFonts w:cs="Times New Roman"/>
    </w:rPr>
  </w:style>
  <w:style w:type="character" w:customStyle="1" w:styleId="13">
    <w:name w:val="文档结构图 Char"/>
    <w:link w:val="3"/>
    <w:qFormat/>
    <w:locked/>
    <w:uiPriority w:val="99"/>
    <w:rPr>
      <w:rFonts w:ascii="宋体" w:cs="Times New Roman"/>
      <w:kern w:val="2"/>
      <w:sz w:val="18"/>
      <w:szCs w:val="18"/>
    </w:rPr>
  </w:style>
  <w:style w:type="character" w:customStyle="1" w:styleId="14">
    <w:name w:val="批注框文本 Char"/>
    <w:link w:val="6"/>
    <w:semiHidden/>
    <w:qFormat/>
    <w:locked/>
    <w:uiPriority w:val="99"/>
    <w:rPr>
      <w:rFonts w:cs="Times New Roman"/>
      <w:sz w:val="2"/>
    </w:rPr>
  </w:style>
  <w:style w:type="character" w:customStyle="1" w:styleId="15">
    <w:name w:val="页脚 Char"/>
    <w:link w:val="7"/>
    <w:qFormat/>
    <w:locked/>
    <w:uiPriority w:val="99"/>
    <w:rPr>
      <w:rFonts w:cs="Times New Roman"/>
      <w:kern w:val="2"/>
      <w:sz w:val="18"/>
      <w:szCs w:val="18"/>
    </w:rPr>
  </w:style>
  <w:style w:type="character" w:customStyle="1" w:styleId="16">
    <w:name w:val="页眉 Char"/>
    <w:link w:val="8"/>
    <w:semiHidden/>
    <w:qFormat/>
    <w:locked/>
    <w:uiPriority w:val="99"/>
    <w:rPr>
      <w:rFonts w:cs="Times New Roman"/>
      <w:sz w:val="18"/>
      <w:szCs w:val="18"/>
    </w:rPr>
  </w:style>
  <w:style w:type="paragraph" w:customStyle="1" w:styleId="17">
    <w:name w:val="四号正文"/>
    <w:basedOn w:val="1"/>
    <w:link w:val="18"/>
    <w:qFormat/>
    <w:uiPriority w:val="99"/>
    <w:pPr>
      <w:spacing w:line="360" w:lineRule="auto"/>
    </w:pPr>
    <w:rPr>
      <w:rFonts w:ascii="??" w:hAnsi="??" w:cs="宋体"/>
      <w:color w:val="000000"/>
      <w:kern w:val="0"/>
      <w:sz w:val="28"/>
      <w:szCs w:val="21"/>
    </w:rPr>
  </w:style>
  <w:style w:type="character" w:customStyle="1" w:styleId="18">
    <w:name w:val="四号正文 Char"/>
    <w:link w:val="17"/>
    <w:qFormat/>
    <w:locked/>
    <w:uiPriority w:val="99"/>
    <w:rPr>
      <w:rFonts w:ascii="??" w:hAnsi="??" w:eastAsia="宋体" w:cs="宋体"/>
      <w:color w:val="000000"/>
      <w:sz w:val="21"/>
      <w:szCs w:val="21"/>
      <w:lang w:val="en-US" w:eastAsia="zh-CN" w:bidi="ar-SA"/>
    </w:rPr>
  </w:style>
  <w:style w:type="paragraph" w:customStyle="1" w:styleId="19">
    <w:name w:val="a"/>
    <w:basedOn w:val="1"/>
    <w:qFormat/>
    <w:uiPriority w:val="99"/>
    <w:pPr>
      <w:widowControl/>
      <w:spacing w:before="100" w:beforeAutospacing="1" w:after="100" w:afterAutospacing="1"/>
      <w:jc w:val="left"/>
    </w:pPr>
    <w:rPr>
      <w:rFonts w:ascii="宋体" w:hAnsi="宋体" w:cs="宋体"/>
      <w:kern w:val="0"/>
      <w:sz w:val="24"/>
    </w:rPr>
  </w:style>
  <w:style w:type="paragraph" w:customStyle="1" w:styleId="20">
    <w:name w:val="〖B02〗二级标题"/>
    <w:next w:val="1"/>
    <w:qFormat/>
    <w:uiPriority w:val="0"/>
    <w:pPr>
      <w:widowControl w:val="0"/>
      <w:numPr>
        <w:ilvl w:val="0"/>
        <w:numId w:val="1"/>
      </w:numPr>
      <w:spacing w:line="600" w:lineRule="exact"/>
      <w:outlineLvl w:val="1"/>
    </w:pPr>
    <w:rPr>
      <w:rFonts w:ascii="楷体_GB2312" w:hAnsi="Calibri" w:eastAsia="楷体_GB2312" w:cs="Times New Roman"/>
      <w:kern w:val="2"/>
      <w:sz w:val="32"/>
      <w:szCs w:val="21"/>
      <w:lang w:val="zh-CN" w:eastAsia="zh-CN" w:bidi="ar-SA"/>
    </w:rPr>
  </w:style>
  <w:style w:type="paragraph" w:customStyle="1" w:styleId="21">
    <w:name w:val="〖C01〗正文"/>
    <w:qFormat/>
    <w:uiPriority w:val="0"/>
    <w:pPr>
      <w:widowControl w:val="0"/>
      <w:topLinePunct/>
      <w:spacing w:line="600" w:lineRule="exact"/>
      <w:ind w:firstLine="637" w:firstLineChars="200"/>
    </w:pPr>
    <w:rPr>
      <w:rFonts w:ascii="仿宋_GB2312" w:hAnsi="Calibri" w:eastAsia="仿宋_GB2312" w:cs="Times New Roman"/>
      <w:kern w:val="2"/>
      <w:sz w:val="32"/>
      <w:szCs w:val="3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PSZX</Company>
  <Pages>1</Pages>
  <Words>49</Words>
  <Characters>284</Characters>
  <Lines>2</Lines>
  <Paragraphs>1</Paragraphs>
  <TotalTime>5</TotalTime>
  <ScaleCrop>false</ScaleCrop>
  <LinksUpToDate>false</LinksUpToDate>
  <CharactersWithSpaces>332</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2020-05-28T09:28:00Z</dcterms:created>
  <dc:creator>陈萍</dc:creator>
  <cp:lastModifiedBy>Administrator</cp:lastModifiedBy>
  <cp:lastPrinted>2022-03-15T02:17:00Z</cp:lastPrinted>
  <dcterms:modified xsi:type="dcterms:W3CDTF">2022-07-14T04:30:57Z</dcterms:modified>
  <dc:title>区域性就业培训基地建设项目</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