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宋体" w:eastAsia="黑体"/>
          <w:szCs w:val="32"/>
          <w:lang w:val="zh-CN"/>
        </w:rPr>
      </w:pPr>
    </w:p>
    <w:p>
      <w:pPr>
        <w:pStyle w:val="21"/>
        <w:rPr>
          <w:rFonts w:hint="eastAsia" w:asciiTheme="minorEastAsia" w:hAnsiTheme="minorEastAsia" w:eastAsiaTheme="minorEastAsia"/>
          <w:b/>
          <w:sz w:val="48"/>
          <w:szCs w:val="48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/>
          <w:b/>
          <w:sz w:val="48"/>
          <w:szCs w:val="48"/>
          <w:shd w:val="clear" w:color="auto" w:fill="FFFFFF"/>
        </w:rPr>
        <w:t>乐山市沙湾</w:t>
      </w:r>
      <w:r>
        <w:rPr>
          <w:rFonts w:hint="eastAsia" w:asciiTheme="minorEastAsia" w:hAnsiTheme="minorEastAsia" w:eastAsiaTheme="minorEastAsia"/>
          <w:b/>
          <w:sz w:val="48"/>
          <w:szCs w:val="48"/>
          <w:shd w:val="clear" w:color="auto" w:fill="FFFFFF"/>
          <w:lang w:eastAsia="zh-CN"/>
        </w:rPr>
        <w:t>小学</w:t>
      </w:r>
    </w:p>
    <w:p>
      <w:pPr>
        <w:pStyle w:val="21"/>
        <w:rPr>
          <w:rFonts w:asciiTheme="minorEastAsia" w:hAnsiTheme="minorEastAsia" w:eastAsiaTheme="minorEastAsia"/>
          <w:sz w:val="48"/>
          <w:szCs w:val="48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 w:val="48"/>
          <w:szCs w:val="48"/>
          <w:shd w:val="clear" w:color="auto" w:fill="FFFFFF"/>
        </w:rPr>
        <w:t>202</w:t>
      </w:r>
      <w:r>
        <w:rPr>
          <w:rFonts w:hint="eastAsia" w:asciiTheme="minorEastAsia" w:hAnsiTheme="minorEastAsia" w:eastAsiaTheme="minorEastAsia"/>
          <w:b/>
          <w:sz w:val="48"/>
          <w:szCs w:val="48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/>
          <w:b/>
          <w:sz w:val="48"/>
          <w:szCs w:val="48"/>
          <w:shd w:val="clear" w:color="auto" w:fill="FFFFFF"/>
        </w:rPr>
        <w:t>年部门整体支出绩效报告</w:t>
      </w:r>
    </w:p>
    <w:p>
      <w:pPr>
        <w:widowControl/>
        <w:adjustRightInd w:val="0"/>
        <w:snapToGrid w:val="0"/>
        <w:spacing w:line="540" w:lineRule="exact"/>
        <w:ind w:firstLine="720"/>
        <w:jc w:val="left"/>
        <w:rPr>
          <w:rFonts w:cs="宋体" w:asciiTheme="minorEastAsia" w:hAnsiTheme="minorEastAsia" w:eastAsiaTheme="minorEastAsia"/>
          <w:color w:val="000000"/>
          <w:kern w:val="0"/>
          <w:szCs w:val="32"/>
          <w:shd w:val="clear" w:color="auto" w:fill="FFFFFF"/>
        </w:rPr>
      </w:pPr>
    </w:p>
    <w:p>
      <w:pPr>
        <w:pStyle w:val="26"/>
        <w:numPr>
          <w:ilvl w:val="0"/>
          <w:numId w:val="0"/>
        </w:numPr>
        <w:spacing w:line="560" w:lineRule="exact"/>
        <w:ind w:firstLine="643" w:firstLineChars="200"/>
        <w:outlineLvl w:val="9"/>
        <w:rPr>
          <w:rFonts w:asciiTheme="minorEastAsia" w:hAnsiTheme="minorEastAsia" w:eastAsiaTheme="minorEastAsia"/>
          <w:b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b/>
          <w:shd w:val="clear" w:color="auto" w:fill="FFFFFF"/>
          <w:lang w:val="zh-CN"/>
        </w:rPr>
        <w:t>一、部门（单位）概况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（一）机构组成</w:t>
      </w:r>
    </w:p>
    <w:p>
      <w:pPr>
        <w:widowControl/>
        <w:spacing w:line="560" w:lineRule="exact"/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hint="eastAsia" w:asciiTheme="minorEastAsia" w:hAnsiTheme="minorEastAsia" w:eastAsiaTheme="minorEastAsia"/>
        </w:rPr>
        <w:t>根据区委编办、区政府文件和上级业务主管部门的机构设置，沙湾</w:t>
      </w:r>
      <w:r>
        <w:rPr>
          <w:rFonts w:hint="eastAsia" w:asciiTheme="minorEastAsia" w:hAnsiTheme="minorEastAsia" w:eastAsiaTheme="minorEastAsia"/>
          <w:lang w:eastAsia="zh-CN"/>
        </w:rPr>
        <w:t>小学</w:t>
      </w:r>
      <w:r>
        <w:rPr>
          <w:rFonts w:hint="eastAsia" w:asciiTheme="minorEastAsia" w:hAnsiTheme="minorEastAsia" w:eastAsiaTheme="minorEastAsia"/>
        </w:rPr>
        <w:t>编制</w:t>
      </w:r>
      <w:r>
        <w:rPr>
          <w:rFonts w:hint="eastAsia" w:asciiTheme="minorEastAsia" w:hAnsiTheme="minorEastAsia" w:eastAsiaTheme="minorEastAsia"/>
          <w:lang w:val="en-US" w:eastAsia="zh-CN"/>
        </w:rPr>
        <w:t>102</w:t>
      </w:r>
      <w:r>
        <w:rPr>
          <w:rFonts w:hint="eastAsia" w:asciiTheme="minorEastAsia" w:hAnsiTheme="minorEastAsia" w:eastAsiaTheme="minorEastAsia"/>
        </w:rPr>
        <w:t>人。202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年，实际在职</w:t>
      </w:r>
      <w:r>
        <w:rPr>
          <w:rFonts w:hint="eastAsia" w:asciiTheme="minorEastAsia" w:hAnsiTheme="minorEastAsia" w:eastAsiaTheme="minorEastAsia"/>
          <w:lang w:eastAsia="zh-CN"/>
        </w:rPr>
        <w:t>教师</w:t>
      </w:r>
      <w:r>
        <w:rPr>
          <w:rFonts w:hint="eastAsia" w:asciiTheme="minorEastAsia" w:hAnsiTheme="minorEastAsia" w:eastAsiaTheme="minorEastAsia"/>
          <w:lang w:val="en-US" w:eastAsia="zh-CN"/>
        </w:rPr>
        <w:t>94</w:t>
      </w:r>
      <w:r>
        <w:rPr>
          <w:rFonts w:hint="eastAsia" w:asciiTheme="minorEastAsia" w:hAnsiTheme="minorEastAsia" w:eastAsiaTheme="minorEastAsia"/>
        </w:rPr>
        <w:t>人，在职工勤1人，退休</w:t>
      </w:r>
      <w:r>
        <w:rPr>
          <w:rFonts w:hint="eastAsia" w:asciiTheme="minorEastAsia" w:hAnsiTheme="minorEastAsia" w:eastAsiaTheme="minorEastAsia"/>
          <w:lang w:eastAsia="zh-CN"/>
        </w:rPr>
        <w:t>教师</w:t>
      </w:r>
      <w:r>
        <w:rPr>
          <w:rFonts w:hint="eastAsia" w:asciiTheme="minorEastAsia" w:hAnsiTheme="minorEastAsia" w:eastAsiaTheme="minorEastAsia"/>
          <w:lang w:val="en-US" w:eastAsia="zh-CN"/>
        </w:rPr>
        <w:t>43</w:t>
      </w:r>
      <w:r>
        <w:rPr>
          <w:rFonts w:hint="eastAsia" w:asciiTheme="minorEastAsia" w:hAnsiTheme="minorEastAsia" w:eastAsiaTheme="minorEastAsia"/>
        </w:rPr>
        <w:t>人</w:t>
      </w:r>
      <w:r>
        <w:rPr>
          <w:rFonts w:hint="eastAsia" w:asciiTheme="minorEastAsia" w:hAnsiTheme="minorEastAsia" w:eastAsiaTheme="minorEastAsia"/>
          <w:lang w:eastAsia="zh-CN"/>
        </w:rPr>
        <w:t>，学生</w:t>
      </w:r>
      <w:r>
        <w:rPr>
          <w:rFonts w:hint="eastAsia" w:asciiTheme="minorEastAsia" w:hAnsiTheme="minorEastAsia" w:eastAsiaTheme="minorEastAsia"/>
          <w:lang w:val="en-US" w:eastAsia="zh-CN"/>
        </w:rPr>
        <w:t>1890人</w:t>
      </w:r>
      <w:r>
        <w:rPr>
          <w:rFonts w:hint="eastAsia" w:asciiTheme="minorEastAsia" w:hAnsiTheme="minorEastAsia" w:eastAsiaTheme="minorEastAsia"/>
        </w:rPr>
        <w:t>。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（二）机构职能</w:t>
      </w:r>
    </w:p>
    <w:p>
      <w:pPr>
        <w:pStyle w:val="33"/>
        <w:spacing w:line="560" w:lineRule="exact"/>
        <w:ind w:right="429" w:firstLine="64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根据区委编办及区政府批准的三定方案，沙湾</w:t>
      </w:r>
      <w:r>
        <w:rPr>
          <w:rFonts w:hint="eastAsia" w:asciiTheme="minorEastAsia" w:hAnsiTheme="minorEastAsia" w:eastAsiaTheme="minorEastAsia"/>
          <w:lang w:eastAsia="zh-CN"/>
        </w:rPr>
        <w:t>小学</w:t>
      </w:r>
      <w:r>
        <w:rPr>
          <w:rFonts w:hint="eastAsia" w:asciiTheme="minorEastAsia" w:hAnsiTheme="minorEastAsia" w:eastAsiaTheme="minorEastAsia"/>
        </w:rPr>
        <w:t>属于</w:t>
      </w:r>
      <w:r>
        <w:rPr>
          <w:rFonts w:hint="eastAsia" w:asciiTheme="minorEastAsia" w:hAnsiTheme="minorEastAsia" w:eastAsiaTheme="minorEastAsia"/>
          <w:lang w:eastAsia="zh-CN"/>
        </w:rPr>
        <w:t>沙湾教育</w:t>
      </w:r>
      <w:r>
        <w:rPr>
          <w:rFonts w:hint="eastAsia" w:asciiTheme="minorEastAsia" w:hAnsiTheme="minorEastAsia" w:eastAsiaTheme="minorEastAsia"/>
        </w:rPr>
        <w:t>部门，其主要的工作职责是：</w:t>
      </w:r>
    </w:p>
    <w:p>
      <w:pPr>
        <w:pStyle w:val="33"/>
        <w:spacing w:line="560" w:lineRule="exact"/>
        <w:ind w:firstLine="64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1.贯彻执行党和国家</w:t>
      </w:r>
      <w:r>
        <w:rPr>
          <w:rFonts w:hint="eastAsia" w:asciiTheme="minorEastAsia" w:hAnsiTheme="minorEastAsia" w:eastAsiaTheme="minorEastAsia"/>
          <w:lang w:eastAsia="zh-CN"/>
        </w:rPr>
        <w:t>的教育</w:t>
      </w:r>
      <w:r>
        <w:rPr>
          <w:rFonts w:hint="eastAsia" w:asciiTheme="minorEastAsia" w:hAnsiTheme="minorEastAsia" w:eastAsiaTheme="minorEastAsia"/>
        </w:rPr>
        <w:t>方针</w:t>
      </w:r>
      <w:r>
        <w:rPr>
          <w:rFonts w:hint="eastAsia" w:asciiTheme="minorEastAsia" w:hAnsiTheme="minorEastAsia" w:eastAsiaTheme="minorEastAsia"/>
          <w:lang w:eastAsia="zh-CN"/>
        </w:rPr>
        <w:t>，开展教育教学工作</w:t>
      </w:r>
      <w:r>
        <w:rPr>
          <w:rFonts w:hint="eastAsia" w:asciiTheme="minorEastAsia" w:hAnsiTheme="minorEastAsia" w:eastAsiaTheme="minorEastAsia"/>
        </w:rPr>
        <w:t xml:space="preserve">。 </w:t>
      </w:r>
    </w:p>
    <w:p>
      <w:pPr>
        <w:pStyle w:val="33"/>
        <w:spacing w:line="560" w:lineRule="exact"/>
        <w:ind w:firstLine="64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2.组织青少年创新大赛活动。机器人大赛培训指导。中小学生优秀论文及制作制品的评选。</w:t>
      </w:r>
    </w:p>
    <w:p>
      <w:pPr>
        <w:spacing w:line="560" w:lineRule="exact"/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3</w:t>
      </w:r>
      <w:r>
        <w:rPr>
          <w:rFonts w:hint="eastAsia" w:asciiTheme="minorEastAsia" w:hAnsiTheme="minorEastAsia" w:eastAsiaTheme="minorEastAsia"/>
        </w:rPr>
        <w:t>.承办区人民政府和上级业务主管部门交办的其他事项</w:t>
      </w:r>
    </w:p>
    <w:p>
      <w:pPr>
        <w:pStyle w:val="27"/>
        <w:numPr>
          <w:ilvl w:val="0"/>
          <w:numId w:val="0"/>
        </w:numPr>
        <w:spacing w:line="560" w:lineRule="exact"/>
        <w:ind w:left="640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（三）人员概况</w:t>
      </w:r>
    </w:p>
    <w:p>
      <w:pPr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asciiTheme="minorEastAsia" w:hAnsiTheme="minorEastAsia" w:eastAsiaTheme="minorEastAsia"/>
          <w:lang w:val="zh-CN"/>
        </w:rPr>
        <w:t>沙湾</w:t>
      </w:r>
      <w:r>
        <w:rPr>
          <w:rFonts w:hint="eastAsia" w:asciiTheme="minorEastAsia" w:hAnsiTheme="minorEastAsia" w:eastAsiaTheme="minorEastAsia"/>
          <w:lang w:val="zh-CN"/>
        </w:rPr>
        <w:t>小</w:t>
      </w:r>
      <w:r>
        <w:rPr>
          <w:rFonts w:hint="eastAsia" w:asciiTheme="minorEastAsia" w:hAnsiTheme="minorEastAsia" w:eastAsiaTheme="minorEastAsia"/>
          <w:lang w:val="zh-CN" w:eastAsia="zh-CN"/>
        </w:rPr>
        <w:t>学</w:t>
      </w:r>
      <w:r>
        <w:rPr>
          <w:rFonts w:hint="eastAsia" w:asciiTheme="minorEastAsia" w:hAnsiTheme="minorEastAsia" w:eastAsiaTheme="minorEastAsia"/>
        </w:rPr>
        <w:t>202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年，实际在职</w:t>
      </w:r>
      <w:r>
        <w:rPr>
          <w:rFonts w:hint="eastAsia" w:asciiTheme="minorEastAsia" w:hAnsiTheme="minorEastAsia" w:eastAsiaTheme="minorEastAsia"/>
          <w:lang w:eastAsia="zh-CN"/>
        </w:rPr>
        <w:t>教师</w:t>
      </w:r>
      <w:r>
        <w:rPr>
          <w:rFonts w:hint="eastAsia" w:asciiTheme="minorEastAsia" w:hAnsiTheme="minorEastAsia" w:eastAsiaTheme="minorEastAsia"/>
          <w:lang w:val="en-US" w:eastAsia="zh-CN"/>
        </w:rPr>
        <w:t>94</w:t>
      </w:r>
      <w:r>
        <w:rPr>
          <w:rFonts w:hint="eastAsia" w:asciiTheme="minorEastAsia" w:hAnsiTheme="minorEastAsia" w:eastAsiaTheme="minorEastAsia"/>
        </w:rPr>
        <w:t>人，在职工勤1人，退休</w:t>
      </w:r>
      <w:r>
        <w:rPr>
          <w:rFonts w:hint="eastAsia" w:asciiTheme="minorEastAsia" w:hAnsiTheme="minorEastAsia" w:eastAsiaTheme="minorEastAsia"/>
          <w:lang w:eastAsia="zh-CN"/>
        </w:rPr>
        <w:t>教师</w:t>
      </w:r>
      <w:r>
        <w:rPr>
          <w:rFonts w:hint="eastAsia" w:asciiTheme="minorEastAsia" w:hAnsiTheme="minorEastAsia" w:eastAsiaTheme="minorEastAsia"/>
          <w:lang w:val="en-US" w:eastAsia="zh-CN"/>
        </w:rPr>
        <w:t>43</w:t>
      </w:r>
      <w:r>
        <w:rPr>
          <w:rFonts w:hint="eastAsia" w:asciiTheme="minorEastAsia" w:hAnsiTheme="minorEastAsia" w:eastAsiaTheme="minorEastAsia"/>
        </w:rPr>
        <w:t>人</w:t>
      </w:r>
      <w:r>
        <w:rPr>
          <w:rFonts w:hint="eastAsia" w:asciiTheme="minorEastAsia" w:hAnsiTheme="minorEastAsia" w:eastAsiaTheme="minorEastAsia"/>
          <w:lang w:eastAsia="zh-CN"/>
        </w:rPr>
        <w:t>，学生</w:t>
      </w:r>
      <w:r>
        <w:rPr>
          <w:rFonts w:hint="eastAsia" w:asciiTheme="minorEastAsia" w:hAnsiTheme="minorEastAsia" w:eastAsiaTheme="minorEastAsia"/>
          <w:lang w:val="en-US" w:eastAsia="zh-CN"/>
        </w:rPr>
        <w:t>1890人</w:t>
      </w:r>
      <w:r>
        <w:rPr>
          <w:rFonts w:hint="eastAsia" w:asciiTheme="minorEastAsia" w:hAnsiTheme="minorEastAsia" w:eastAsiaTheme="minorEastAsia"/>
        </w:rPr>
        <w:t>。</w:t>
      </w:r>
    </w:p>
    <w:p>
      <w:pPr>
        <w:pStyle w:val="26"/>
        <w:numPr>
          <w:ilvl w:val="0"/>
          <w:numId w:val="0"/>
        </w:numPr>
        <w:spacing w:line="560" w:lineRule="exact"/>
        <w:ind w:firstLine="643" w:firstLineChars="200"/>
        <w:outlineLvl w:val="9"/>
        <w:rPr>
          <w:rFonts w:asciiTheme="minorEastAsia" w:hAnsiTheme="minorEastAsia" w:eastAsiaTheme="minorEastAsia"/>
          <w:b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hd w:val="clear" w:color="auto" w:fill="FFFFFF"/>
        </w:rPr>
        <w:t>二、部门财政资金收支情况</w:t>
      </w:r>
    </w:p>
    <w:p>
      <w:pPr>
        <w:pStyle w:val="27"/>
        <w:numPr>
          <w:ilvl w:val="0"/>
          <w:numId w:val="0"/>
        </w:numPr>
        <w:spacing w:line="560" w:lineRule="exact"/>
        <w:ind w:firstLine="643" w:firstLineChars="200"/>
        <w:jc w:val="both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（一）部门财政资金收入情况</w:t>
      </w:r>
    </w:p>
    <w:p>
      <w:pPr>
        <w:spacing w:line="560" w:lineRule="exact"/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hint="eastAsia" w:ascii="宋体" w:hAnsi="宋体" w:eastAsia="宋体"/>
        </w:rPr>
        <w:t>按照综合预算的原则，沙湾</w:t>
      </w:r>
      <w:r>
        <w:rPr>
          <w:rFonts w:hint="eastAsia" w:ascii="宋体" w:hAnsi="宋体" w:eastAsia="宋体"/>
          <w:lang w:eastAsia="zh-CN"/>
        </w:rPr>
        <w:t>小学</w:t>
      </w:r>
      <w:r>
        <w:rPr>
          <w:rFonts w:hint="eastAsia" w:ascii="宋体" w:hAnsi="宋体" w:eastAsia="宋体"/>
        </w:rPr>
        <w:t>所有收入和支出均纳入部门预算管理。202</w:t>
      </w:r>
      <w:r>
        <w:rPr>
          <w:rFonts w:hint="eastAsia" w:ascii="宋体" w:hAnsi="宋体" w:eastAsia="宋体"/>
          <w:lang w:val="en-US" w:eastAsia="zh-CN"/>
        </w:rPr>
        <w:t>1</w:t>
      </w:r>
      <w:r>
        <w:rPr>
          <w:rFonts w:hint="eastAsia" w:ascii="宋体" w:hAnsi="宋体" w:eastAsia="宋体"/>
        </w:rPr>
        <w:t>年收入预算总额为</w:t>
      </w:r>
      <w:r>
        <w:rPr>
          <w:rFonts w:hint="eastAsia" w:ascii="宋体" w:hAnsi="宋体" w:eastAsia="宋体"/>
          <w:lang w:val="en-US" w:eastAsia="zh-CN"/>
        </w:rPr>
        <w:t>1359.97</w:t>
      </w:r>
      <w:r>
        <w:rPr>
          <w:rFonts w:hint="eastAsia" w:ascii="宋体" w:hAnsi="宋体" w:eastAsia="宋体"/>
        </w:rPr>
        <w:t>万元，较上年预算数</w:t>
      </w:r>
      <w:r>
        <w:rPr>
          <w:rFonts w:hint="eastAsia" w:ascii="宋体" w:hAnsi="宋体" w:eastAsia="宋体"/>
          <w:lang w:val="en-US" w:eastAsia="zh-CN"/>
        </w:rPr>
        <w:t>1447.27</w:t>
      </w:r>
      <w:r>
        <w:rPr>
          <w:rFonts w:hint="eastAsia" w:ascii="宋体" w:hAnsi="宋体" w:eastAsia="宋体"/>
        </w:rPr>
        <w:t>万元减少了</w:t>
      </w:r>
      <w:r>
        <w:rPr>
          <w:rFonts w:hint="eastAsia" w:ascii="宋体" w:hAnsi="宋体" w:eastAsia="宋体"/>
          <w:lang w:val="en-US" w:eastAsia="zh-CN"/>
        </w:rPr>
        <w:t>87.3</w:t>
      </w:r>
      <w:r>
        <w:rPr>
          <w:rFonts w:hint="eastAsia" w:ascii="宋体" w:hAnsi="宋体" w:eastAsia="宋体"/>
        </w:rPr>
        <w:t>万元。其中：当年财政拨款收入</w:t>
      </w:r>
      <w:r>
        <w:rPr>
          <w:rFonts w:hint="eastAsia" w:ascii="宋体" w:hAnsi="宋体" w:eastAsia="宋体"/>
          <w:lang w:val="en-US" w:eastAsia="zh-CN"/>
        </w:rPr>
        <w:t>1359.97</w:t>
      </w:r>
      <w:r>
        <w:rPr>
          <w:rFonts w:hint="eastAsia" w:ascii="宋体" w:hAnsi="宋体" w:eastAsia="宋体"/>
        </w:rPr>
        <w:t>万元，事业收入0万元，事业单位经营收入0万元，其他收入0万元，上年结转收入0万元。</w:t>
      </w:r>
    </w:p>
    <w:p>
      <w:pPr>
        <w:pStyle w:val="27"/>
        <w:numPr>
          <w:ilvl w:val="0"/>
          <w:numId w:val="0"/>
        </w:numPr>
        <w:spacing w:line="560" w:lineRule="exact"/>
        <w:ind w:firstLine="643" w:firstLineChars="200"/>
        <w:jc w:val="both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（二）部门财政资金支出情况</w:t>
      </w:r>
    </w:p>
    <w:p>
      <w:pPr>
        <w:pStyle w:val="33"/>
        <w:spacing w:line="560" w:lineRule="exact"/>
        <w:ind w:firstLine="64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沙湾</w:t>
      </w:r>
      <w:r>
        <w:rPr>
          <w:rFonts w:hint="eastAsia" w:ascii="宋体" w:hAnsi="宋体" w:eastAsia="宋体"/>
          <w:lang w:eastAsia="zh-CN"/>
        </w:rPr>
        <w:t>小学</w:t>
      </w:r>
      <w:r>
        <w:rPr>
          <w:rFonts w:hint="eastAsia" w:ascii="宋体" w:hAnsi="宋体" w:eastAsia="宋体"/>
        </w:rPr>
        <w:t>202</w:t>
      </w:r>
      <w:r>
        <w:rPr>
          <w:rFonts w:hint="eastAsia" w:ascii="宋体" w:hAnsi="宋体" w:eastAsia="宋体"/>
          <w:lang w:val="en-US" w:eastAsia="zh-CN"/>
        </w:rPr>
        <w:t>1</w:t>
      </w:r>
      <w:r>
        <w:rPr>
          <w:rFonts w:hint="eastAsia" w:ascii="宋体" w:hAnsi="宋体" w:eastAsia="宋体"/>
        </w:rPr>
        <w:t>年财政拨款</w:t>
      </w:r>
      <w:r>
        <w:rPr>
          <w:rFonts w:hint="eastAsia" w:asciiTheme="minorEastAsia" w:hAnsiTheme="minorEastAsia" w:eastAsiaTheme="minorEastAsia"/>
        </w:rPr>
        <w:t>支出</w:t>
      </w:r>
      <w:r>
        <w:rPr>
          <w:rFonts w:hint="eastAsia" w:ascii="宋体" w:hAnsi="宋体" w:eastAsia="宋体"/>
        </w:rPr>
        <w:t>总预算</w:t>
      </w:r>
      <w:r>
        <w:rPr>
          <w:rFonts w:hint="eastAsia" w:ascii="宋体" w:hAnsi="宋体" w:eastAsia="宋体"/>
          <w:lang w:val="en-US" w:eastAsia="zh-CN"/>
        </w:rPr>
        <w:t>1359.97</w:t>
      </w:r>
      <w:r>
        <w:rPr>
          <w:rFonts w:hint="eastAsia" w:ascii="宋体" w:hAnsi="宋体" w:eastAsia="宋体"/>
        </w:rPr>
        <w:t>万元，主要用于保障该部门机构正常运转、完成日常工作任务以及承担沙湾教育事业发展相关工作。</w:t>
      </w:r>
      <w:r>
        <w:rPr>
          <w:rFonts w:hint="eastAsia" w:asciiTheme="minorEastAsia" w:hAnsiTheme="minorEastAsia" w:eastAsiaTheme="minorEastAsia"/>
        </w:rPr>
        <w:t>具体情况为</w:t>
      </w:r>
      <w:r>
        <w:rPr>
          <w:rFonts w:hint="eastAsia" w:ascii="宋体" w:hAnsi="宋体" w:eastAsia="宋体"/>
        </w:rPr>
        <w:t>：人员支出</w:t>
      </w:r>
      <w:r>
        <w:rPr>
          <w:rFonts w:hint="eastAsia" w:ascii="宋体" w:hAnsi="宋体" w:eastAsia="宋体"/>
          <w:lang w:val="en-US" w:eastAsia="zh-CN"/>
        </w:rPr>
        <w:t>1178.72</w:t>
      </w:r>
      <w:r>
        <w:rPr>
          <w:rFonts w:hint="eastAsia" w:ascii="宋体" w:hAnsi="宋体" w:eastAsia="宋体"/>
        </w:rPr>
        <w:t>万元，日常公用支出</w:t>
      </w:r>
      <w:r>
        <w:rPr>
          <w:rFonts w:hint="eastAsia" w:ascii="宋体" w:hAnsi="宋体" w:eastAsia="宋体"/>
          <w:lang w:val="en-US" w:eastAsia="zh-CN"/>
        </w:rPr>
        <w:t>147.91</w:t>
      </w:r>
      <w:r>
        <w:rPr>
          <w:rFonts w:hint="eastAsia" w:ascii="宋体" w:hAnsi="宋体" w:eastAsia="宋体"/>
        </w:rPr>
        <w:t>万元，对个人和家庭的补助支出</w:t>
      </w:r>
      <w:r>
        <w:rPr>
          <w:rFonts w:hint="eastAsia" w:ascii="宋体" w:hAnsi="宋体" w:eastAsia="宋体"/>
          <w:lang w:val="en-US" w:eastAsia="zh-CN"/>
        </w:rPr>
        <w:t>0</w:t>
      </w:r>
      <w:r>
        <w:rPr>
          <w:rFonts w:hint="eastAsia" w:ascii="宋体" w:hAnsi="宋体" w:eastAsia="宋体"/>
        </w:rPr>
        <w:t>万元，专项支出</w:t>
      </w:r>
      <w:r>
        <w:rPr>
          <w:rFonts w:hint="eastAsia" w:ascii="宋体" w:hAnsi="宋体" w:eastAsia="宋体"/>
          <w:lang w:val="en-US" w:eastAsia="zh-CN"/>
        </w:rPr>
        <w:t>69.33</w:t>
      </w:r>
      <w:r>
        <w:rPr>
          <w:rFonts w:hint="eastAsia" w:ascii="宋体" w:hAnsi="宋体" w:eastAsia="宋体"/>
        </w:rPr>
        <w:t>万元。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  <w:lang w:val="zh-CN"/>
        </w:rPr>
      </w:pPr>
      <w:r>
        <w:rPr>
          <w:rFonts w:hint="eastAsia" w:asciiTheme="minorEastAsia" w:hAnsiTheme="minorEastAsia" w:eastAsiaTheme="minorEastAsia"/>
        </w:rPr>
        <w:t>根据支出类别分</w:t>
      </w:r>
      <w:r>
        <w:rPr>
          <w:rFonts w:hint="eastAsia" w:ascii="宋体" w:hAnsi="宋体" w:eastAsia="宋体"/>
        </w:rPr>
        <w:t>基本支出</w:t>
      </w:r>
      <w:r>
        <w:rPr>
          <w:rFonts w:hint="eastAsia" w:asciiTheme="minorEastAsia" w:hAnsiTheme="minorEastAsia" w:eastAsiaTheme="minorEastAsia"/>
        </w:rPr>
        <w:t>和项目支出。其中：基本支出</w:t>
      </w:r>
      <w:r>
        <w:rPr>
          <w:rFonts w:hint="eastAsia" w:ascii="宋体" w:hAnsi="宋体" w:eastAsia="宋体"/>
        </w:rPr>
        <w:t>，是用于保障沙湾区教育局机关、下属事业单位等机构正常运转的日常支出，包括基本工资、津贴补贴等人员经费以及办公费、印刷费、水电费、办公设备购置等日常公用经费。项目支出，是用于保障沙湾区教育局机关、下属事业单位等机构为完成特定的行政工作任务或事业发展目标，用于专项业务工作的经费支出。</w:t>
      </w:r>
    </w:p>
    <w:p>
      <w:pPr>
        <w:pStyle w:val="27"/>
        <w:numPr>
          <w:ilvl w:val="0"/>
          <w:numId w:val="0"/>
        </w:numPr>
        <w:spacing w:line="560" w:lineRule="exact"/>
        <w:ind w:firstLine="643" w:firstLineChars="200"/>
        <w:jc w:val="both"/>
        <w:outlineLvl w:val="9"/>
        <w:rPr>
          <w:rFonts w:asciiTheme="minorEastAsia" w:hAnsiTheme="minorEastAsia" w:eastAsiaTheme="minorEastAsia"/>
          <w:szCs w:val="32"/>
        </w:rPr>
      </w:pPr>
      <w:r>
        <w:rPr>
          <w:rFonts w:hint="eastAsia" w:asciiTheme="minorEastAsia" w:hAnsiTheme="minorEastAsia" w:eastAsiaTheme="minorEastAsia"/>
          <w:b/>
        </w:rPr>
        <w:t>（三）</w:t>
      </w:r>
      <w:r>
        <w:rPr>
          <w:rFonts w:hint="eastAsia" w:asciiTheme="minorEastAsia" w:hAnsiTheme="minorEastAsia" w:eastAsiaTheme="minorEastAsia"/>
          <w:b/>
          <w:szCs w:val="32"/>
        </w:rPr>
        <w:t>收</w:t>
      </w: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支应</w:t>
      </w:r>
      <w:r>
        <w:rPr>
          <w:rFonts w:hint="eastAsia" w:asciiTheme="minorEastAsia" w:hAnsiTheme="minorEastAsia" w:eastAsiaTheme="minorEastAsia"/>
          <w:b/>
          <w:szCs w:val="32"/>
        </w:rPr>
        <w:t>相等</w:t>
      </w:r>
    </w:p>
    <w:p>
      <w:pPr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hint="eastAsia" w:asciiTheme="minorEastAsia" w:hAnsiTheme="minorEastAsia" w:eastAsiaTheme="minorEastAsia"/>
          <w:lang w:val="zh-CN"/>
        </w:rPr>
        <w:t>根据上述收入、支出情况，本年度收入支出预算相等。</w:t>
      </w:r>
    </w:p>
    <w:p>
      <w:pPr>
        <w:pStyle w:val="33"/>
        <w:spacing w:line="560" w:lineRule="exact"/>
        <w:ind w:firstLine="636" w:firstLineChars="198"/>
        <w:rPr>
          <w:rFonts w:asciiTheme="minorEastAsia" w:hAnsiTheme="minorEastAsia" w:eastAsiaTheme="minorEastAsia"/>
          <w:b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hd w:val="clear" w:color="auto" w:fill="FFFFFF"/>
        </w:rPr>
        <w:t>三、部门财政支出管理情况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（一）预决算编制情况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shd w:val="clear" w:color="auto" w:fill="FFFFFF"/>
          <w:lang w:val="zh-CN"/>
        </w:rPr>
        <w:t>主要包括预算编制质量、绩效目标填报、转移支付提前下达及专项转移支付分地区分项目编制情况等。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shd w:val="clear" w:color="auto" w:fill="FFFFFF"/>
          <w:lang w:val="zh-CN"/>
        </w:rPr>
        <w:t>1.预算编制的质量。</w:t>
      </w:r>
      <w:r>
        <w:rPr>
          <w:rFonts w:hint="eastAsia" w:asciiTheme="minorEastAsia" w:hAnsiTheme="minorEastAsia" w:eastAsiaTheme="minorEastAsia"/>
        </w:rPr>
        <w:t>我单位根据沙湾区委、区政府的工作安排和区财政局的预算口径，按照“二上二下”的原则编制、上报了202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年预算。经区财政初审，区政府领导审核，最后报区人代会审议，批准我单位202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年度预算支出</w:t>
      </w:r>
      <w:r>
        <w:rPr>
          <w:rFonts w:hint="eastAsia" w:asciiTheme="minorEastAsia" w:hAnsiTheme="minorEastAsia" w:eastAsiaTheme="minorEastAsia"/>
          <w:lang w:val="en-US" w:eastAsia="zh-CN"/>
        </w:rPr>
        <w:t>1359.97</w:t>
      </w:r>
      <w:r>
        <w:rPr>
          <w:rFonts w:hint="eastAsia" w:asciiTheme="minorEastAsia" w:hAnsiTheme="minorEastAsia" w:eastAsiaTheme="minorEastAsia"/>
        </w:rPr>
        <w:t>万元，其中：基本支出为</w:t>
      </w:r>
      <w:r>
        <w:rPr>
          <w:rFonts w:hint="eastAsia" w:asciiTheme="minorEastAsia" w:hAnsiTheme="minorEastAsia" w:eastAsiaTheme="minorEastAsia"/>
          <w:lang w:val="en-US" w:eastAsia="zh-CN"/>
        </w:rPr>
        <w:t>1326.63</w:t>
      </w:r>
      <w:r>
        <w:rPr>
          <w:rFonts w:hint="eastAsia" w:asciiTheme="minorEastAsia" w:hAnsiTheme="minorEastAsia" w:eastAsiaTheme="minorEastAsia"/>
        </w:rPr>
        <w:t>万元，项目支出为</w:t>
      </w:r>
      <w:r>
        <w:rPr>
          <w:rFonts w:hint="eastAsia" w:asciiTheme="minorEastAsia" w:hAnsiTheme="minorEastAsia" w:eastAsiaTheme="minorEastAsia"/>
          <w:lang w:val="en-US" w:eastAsia="zh-CN"/>
        </w:rPr>
        <w:t>69.33</w:t>
      </w:r>
      <w:r>
        <w:rPr>
          <w:rFonts w:hint="eastAsia" w:asciiTheme="minorEastAsia" w:hAnsiTheme="minorEastAsia" w:eastAsiaTheme="minorEastAsia"/>
        </w:rPr>
        <w:t>万元。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shd w:val="clear" w:color="auto" w:fill="FFFFFF"/>
          <w:lang w:val="zh-CN"/>
        </w:rPr>
        <w:t>2.绩效目标填报情况。根据财政通知和管理要求，我单位编制年初预算时，同时编制了项目绩效预算和整体支出绩效预算。绩效目标的设置适应上级民生要求、符合教育特点、综合考虑财政资金安排进度。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shd w:val="clear" w:color="auto" w:fill="FFFFFF"/>
          <w:lang w:val="zh-CN"/>
        </w:rPr>
        <w:t>3.转移支付指标下达情况。我单位积极与财政衔接，所有上级下达我区就的转移支付资金，均及时下达到资金和项目执行单位。凡是该由区级财政承担的经费，一定足额纳入年初预算，确保项目的顺利实施。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shd w:val="clear" w:color="auto" w:fill="FFFFFF"/>
          <w:lang w:val="zh-CN"/>
        </w:rPr>
        <w:t>4.专项转移支付分地区分项目编制情况。各级各类专项转移支付，我们都根据规划、按资金用途分学校、分项目编制，确保资金便于监管、及时到位和归档管理。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（二）执行管理情况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Theme="minorEastAsia" w:hAnsiTheme="minorEastAsia" w:eastAsiaTheme="minorEastAsia"/>
          <w:shd w:val="clear" w:color="auto" w:fill="FFFFFF"/>
          <w:lang w:val="zh-CN"/>
        </w:rPr>
        <w:t>主要包括省级财力专项预算分配时限、中央专款分配合规律、部门预算执行进度情况、中期评估、节能降耗及“三公”经费预算执行情况等。重点评价造成部门执行进度滞后、结转结余及应返还额度规模较大的形成原因，并分析对以后年度县级部门预算编制的指导意义。</w:t>
      </w:r>
    </w:p>
    <w:p>
      <w:pPr>
        <w:pStyle w:val="27"/>
        <w:numPr>
          <w:ilvl w:val="0"/>
          <w:numId w:val="0"/>
        </w:numPr>
        <w:spacing w:line="560" w:lineRule="exact"/>
        <w:ind w:firstLine="640" w:firstLineChars="200"/>
        <w:jc w:val="both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szCs w:val="32"/>
          <w:shd w:val="clear" w:color="auto" w:fill="FFFFFF"/>
        </w:rPr>
        <w:t>1.中央专款的分配情况。上级在下达中央专款时，一般根据学年初报表拨付二次，第一次为预拨，时间在上年年末或当年初，第二次为清算时间在年末或次年初。我局在收到上级资金文件时，积极主动与财政主管科室联系，及时将资金指标下达到相关学校，并指导学校按文件要求办理。</w:t>
      </w:r>
    </w:p>
    <w:p>
      <w:pPr>
        <w:pStyle w:val="27"/>
        <w:numPr>
          <w:ilvl w:val="0"/>
          <w:numId w:val="0"/>
        </w:numPr>
        <w:spacing w:line="560" w:lineRule="exact"/>
        <w:ind w:firstLine="640" w:firstLineChars="200"/>
        <w:jc w:val="both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szCs w:val="32"/>
          <w:shd w:val="clear" w:color="auto" w:fill="FFFFFF"/>
        </w:rPr>
        <w:t>2.部门预算执行进度和中期评估情况。202</w:t>
      </w:r>
      <w:r>
        <w:rPr>
          <w:rFonts w:hint="eastAsia" w:asciiTheme="minorEastAsia" w:hAnsiTheme="minorEastAsia" w:eastAsiaTheme="minorEastAsia"/>
          <w:szCs w:val="32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Cs w:val="32"/>
          <w:shd w:val="clear" w:color="auto" w:fill="FFFFFF"/>
        </w:rPr>
        <w:t>年7月，按区财政的安排进行了中期预算调整。9月份，根据区人大的文件要求，教科局汇报了202</w:t>
      </w:r>
      <w:r>
        <w:rPr>
          <w:rFonts w:hint="eastAsia" w:asciiTheme="minorEastAsia" w:hAnsiTheme="minorEastAsia" w:eastAsiaTheme="minorEastAsia"/>
          <w:szCs w:val="32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Cs w:val="32"/>
          <w:shd w:val="clear" w:color="auto" w:fill="FFFFFF"/>
        </w:rPr>
        <w:t>年预算执行情况，总体按进度执行。其中人员支出、民生项目支出均按进度严格执行。到年底，所有预算（含调整预算）都全部执行完毕。</w:t>
      </w:r>
    </w:p>
    <w:p>
      <w:pPr>
        <w:spacing w:line="560" w:lineRule="exact"/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hint="eastAsia" w:asciiTheme="minorEastAsia" w:hAnsiTheme="minorEastAsia" w:eastAsiaTheme="minorEastAsia"/>
          <w:lang w:val="zh-CN"/>
        </w:rPr>
        <w:t>3.节能降耗情况。根据区政府办公室节能消耗办公室的通知，教育系统按上级要求认真做好节能降耗工作，每月按时统计、汇总教育系统数据并上报政府办。节能降耗工作取得预期效果。</w:t>
      </w:r>
    </w:p>
    <w:p>
      <w:pPr>
        <w:pStyle w:val="33"/>
        <w:spacing w:line="560" w:lineRule="exact"/>
        <w:ind w:right="429" w:firstLine="640"/>
        <w:rPr>
          <w:rFonts w:ascii="宋体" w:hAnsi="宋体" w:eastAsia="宋体"/>
        </w:rPr>
      </w:pPr>
      <w:r>
        <w:rPr>
          <w:rFonts w:hint="eastAsia" w:asciiTheme="minorEastAsia" w:hAnsiTheme="minorEastAsia" w:eastAsiaTheme="minorEastAsia"/>
          <w:lang w:val="zh-CN"/>
        </w:rPr>
        <w:t>4.</w:t>
      </w:r>
      <w:r>
        <w:rPr>
          <w:rFonts w:hint="eastAsia" w:asciiTheme="minorEastAsia" w:hAnsiTheme="minorEastAsia" w:eastAsiaTheme="minorEastAsia"/>
        </w:rPr>
        <w:t xml:space="preserve"> “三公”经费情况。</w:t>
      </w:r>
      <w:r>
        <w:rPr>
          <w:rFonts w:hint="eastAsia" w:ascii="宋体" w:hAnsi="宋体" w:eastAsia="宋体"/>
        </w:rPr>
        <w:t>沙湾区科协202</w:t>
      </w:r>
      <w:r>
        <w:rPr>
          <w:rFonts w:hint="eastAsia" w:ascii="宋体" w:hAnsi="宋体" w:eastAsia="宋体"/>
          <w:lang w:val="en-US" w:eastAsia="zh-CN"/>
        </w:rPr>
        <w:t>1</w:t>
      </w:r>
      <w:r>
        <w:rPr>
          <w:rFonts w:hint="eastAsia" w:ascii="宋体" w:hAnsi="宋体" w:eastAsia="宋体"/>
        </w:rPr>
        <w:t>年“三公”经费预算数</w:t>
      </w:r>
      <w:r>
        <w:rPr>
          <w:rFonts w:hint="eastAsia" w:ascii="宋体" w:hAnsi="宋体" w:eastAsia="宋体"/>
          <w:lang w:val="en-US" w:eastAsia="zh-CN"/>
        </w:rPr>
        <w:t>0.66</w:t>
      </w:r>
      <w:r>
        <w:rPr>
          <w:rFonts w:hint="eastAsia" w:ascii="宋体" w:hAnsi="宋体" w:eastAsia="宋体"/>
        </w:rPr>
        <w:t>万元，较上年“三公”经费预算数</w:t>
      </w:r>
      <w:r>
        <w:rPr>
          <w:rFonts w:hint="eastAsia" w:ascii="宋体" w:hAnsi="宋体" w:eastAsia="宋体"/>
          <w:lang w:val="en-US" w:eastAsia="zh-CN"/>
        </w:rPr>
        <w:t>0.69</w:t>
      </w:r>
      <w:r>
        <w:rPr>
          <w:rFonts w:hint="eastAsia" w:ascii="宋体" w:hAnsi="宋体" w:eastAsia="宋体"/>
        </w:rPr>
        <w:t>万元减少</w:t>
      </w:r>
      <w:r>
        <w:rPr>
          <w:rFonts w:hint="eastAsia" w:ascii="宋体" w:hAnsi="宋体" w:eastAsia="宋体"/>
          <w:lang w:val="en-US" w:eastAsia="zh-CN"/>
        </w:rPr>
        <w:t>0.03</w:t>
      </w:r>
      <w:r>
        <w:rPr>
          <w:rFonts w:hint="eastAsia" w:ascii="宋体" w:hAnsi="宋体" w:eastAsia="宋体"/>
        </w:rPr>
        <w:t>万元。其中财政拨款安排“三公”经费</w:t>
      </w:r>
      <w:r>
        <w:rPr>
          <w:rFonts w:hint="eastAsia" w:ascii="宋体" w:hAnsi="宋体" w:eastAsia="宋体"/>
          <w:lang w:val="en-US" w:eastAsia="zh-CN"/>
        </w:rPr>
        <w:t>0.66</w:t>
      </w:r>
      <w:r>
        <w:rPr>
          <w:rFonts w:hint="eastAsia" w:ascii="宋体" w:hAnsi="宋体" w:eastAsia="宋体"/>
        </w:rPr>
        <w:t>万元。因公出国（境）经费0万元，公务接待费</w:t>
      </w:r>
      <w:r>
        <w:rPr>
          <w:rFonts w:hint="eastAsia" w:ascii="宋体" w:hAnsi="宋体" w:eastAsia="宋体"/>
          <w:lang w:val="en-US" w:eastAsia="zh-CN"/>
        </w:rPr>
        <w:t>0.66</w:t>
      </w:r>
      <w:r>
        <w:rPr>
          <w:rFonts w:hint="eastAsia" w:ascii="宋体" w:hAnsi="宋体" w:eastAsia="宋体"/>
        </w:rPr>
        <w:t>万元，公务用车购置及运行维护费0万元。</w:t>
      </w:r>
    </w:p>
    <w:p>
      <w:pPr>
        <w:pStyle w:val="33"/>
        <w:spacing w:line="560" w:lineRule="exact"/>
        <w:ind w:firstLine="64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1.因公出国（境）经费较上年预算与上年持平，为0万元，增长（下降）0%。（如持平不需要说明原因，下同）</w:t>
      </w:r>
    </w:p>
    <w:p>
      <w:pPr>
        <w:pStyle w:val="33"/>
        <w:spacing w:line="560" w:lineRule="exact"/>
        <w:ind w:firstLine="64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根据……批准的2020年因公临时出国（境）安排，拟安排出国（境）0人次。</w:t>
      </w:r>
    </w:p>
    <w:p>
      <w:pPr>
        <w:pStyle w:val="33"/>
        <w:spacing w:line="560" w:lineRule="exact"/>
        <w:ind w:firstLine="64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2.公务接待费较上年预算</w:t>
      </w:r>
      <w:r>
        <w:rPr>
          <w:rFonts w:hint="eastAsia" w:ascii="宋体" w:hAnsi="宋体" w:eastAsia="宋体"/>
          <w:lang w:eastAsia="zh-CN"/>
        </w:rPr>
        <w:t>减少</w:t>
      </w:r>
      <w:r>
        <w:rPr>
          <w:rFonts w:hint="eastAsia" w:ascii="宋体" w:hAnsi="宋体" w:eastAsia="宋体"/>
        </w:rPr>
        <w:t>了0.</w:t>
      </w:r>
      <w:r>
        <w:rPr>
          <w:rFonts w:hint="eastAsia" w:ascii="宋体" w:hAnsi="宋体" w:eastAsia="宋体"/>
          <w:lang w:val="en-US" w:eastAsia="zh-CN"/>
        </w:rPr>
        <w:t>03</w:t>
      </w:r>
      <w:r>
        <w:rPr>
          <w:rFonts w:hint="eastAsia" w:ascii="宋体" w:hAnsi="宋体" w:eastAsia="宋体"/>
        </w:rPr>
        <w:t>万元，</w:t>
      </w:r>
      <w:r>
        <w:rPr>
          <w:rFonts w:hint="eastAsia" w:ascii="宋体" w:hAnsi="宋体" w:eastAsia="宋体"/>
          <w:lang w:eastAsia="zh-CN"/>
        </w:rPr>
        <w:t>减少</w:t>
      </w:r>
      <w:r>
        <w:rPr>
          <w:rFonts w:hint="eastAsia" w:ascii="宋体" w:hAnsi="宋体" w:eastAsia="宋体"/>
        </w:rPr>
        <w:t>了</w:t>
      </w:r>
      <w:r>
        <w:rPr>
          <w:rFonts w:hint="eastAsia" w:ascii="宋体" w:hAnsi="宋体" w:eastAsia="宋体"/>
          <w:lang w:val="en-US" w:eastAsia="zh-CN"/>
        </w:rPr>
        <w:t>5</w:t>
      </w:r>
      <w:r>
        <w:rPr>
          <w:rFonts w:hint="eastAsia" w:ascii="宋体" w:hAnsi="宋体" w:eastAsia="宋体"/>
        </w:rPr>
        <w:t>%。主要原因是严格执行各级纪委和财政的政策，厉行节约，减少接待次数和规模。</w:t>
      </w:r>
    </w:p>
    <w:p>
      <w:pPr>
        <w:pStyle w:val="33"/>
        <w:spacing w:line="560" w:lineRule="exact"/>
        <w:ind w:firstLine="64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202</w:t>
      </w:r>
      <w:r>
        <w:rPr>
          <w:rFonts w:hint="eastAsia" w:ascii="宋体" w:hAnsi="宋体" w:eastAsia="宋体"/>
          <w:lang w:val="en-US" w:eastAsia="zh-CN"/>
        </w:rPr>
        <w:t>1</w:t>
      </w:r>
      <w:r>
        <w:rPr>
          <w:rFonts w:hint="eastAsia" w:ascii="宋体" w:hAnsi="宋体" w:eastAsia="宋体"/>
        </w:rPr>
        <w:t>年公务接待费计划用于接待各级检查、来访人员和区县交流等国内公务活动。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  <w:shd w:val="clear" w:color="auto" w:fill="FFFFFF"/>
          <w:lang w:val="zh-CN"/>
        </w:rPr>
      </w:pPr>
      <w:r>
        <w:rPr>
          <w:rFonts w:hint="eastAsia" w:ascii="宋体" w:hAnsi="宋体" w:eastAsia="宋体"/>
        </w:rPr>
        <w:t>3.公务用车购置及运行维护费</w:t>
      </w:r>
      <w:r>
        <w:rPr>
          <w:rFonts w:hint="eastAsia" w:ascii="宋体" w:hAnsi="宋体" w:eastAsia="宋体"/>
          <w:lang w:eastAsia="zh-CN"/>
        </w:rPr>
        <w:t>为</w:t>
      </w:r>
      <w:r>
        <w:rPr>
          <w:rFonts w:hint="eastAsia" w:ascii="宋体" w:hAnsi="宋体" w:eastAsia="宋体"/>
          <w:lang w:val="en-US" w:eastAsia="zh-CN"/>
        </w:rPr>
        <w:t>0</w:t>
      </w:r>
      <w:r>
        <w:rPr>
          <w:rFonts w:hint="eastAsia" w:ascii="宋体" w:hAnsi="宋体" w:eastAsia="宋体"/>
        </w:rPr>
        <w:t>。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（三）综合管理情况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包括政府性债务管理、非税收入执收、政策采购实施计划、资产管理、内控制度管理、信息公开、绩效评价及依法接受财政监督情况等。</w:t>
      </w:r>
    </w:p>
    <w:p>
      <w:pPr>
        <w:spacing w:line="560" w:lineRule="exact"/>
        <w:ind w:firstLine="636" w:firstLineChars="199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1.政府性债务管理。</w:t>
      </w:r>
      <w:r>
        <w:rPr>
          <w:rFonts w:hint="eastAsia" w:asciiTheme="minorEastAsia" w:hAnsiTheme="minorEastAsia" w:eastAsiaTheme="minorEastAsia"/>
          <w:szCs w:val="32"/>
        </w:rPr>
        <w:t>截止12月31日，我单位没有政府性债务，债务余额为0万元。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2.非税收入情况。我单位属于政府部门，没有执法权，也没有非税收入任务。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3.政府采购实施情况。我单位严格执行《政府采购法》，维修改造项目、工程等项目，均严格执行《政府采购法》，按程序操作。但是202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年没有实施采购项目。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4.资产管理。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根据《会计法》和《固定资产管理规定》，沙湾</w:t>
      </w:r>
      <w:r>
        <w:rPr>
          <w:rFonts w:hint="eastAsia" w:asciiTheme="minorEastAsia" w:hAnsiTheme="minorEastAsia" w:eastAsiaTheme="minorEastAsia"/>
          <w:lang w:eastAsia="zh-CN"/>
        </w:rPr>
        <w:t>小学</w:t>
      </w:r>
      <w:r>
        <w:rPr>
          <w:rFonts w:hint="eastAsia" w:asciiTheme="minorEastAsia" w:hAnsiTheme="minorEastAsia" w:eastAsiaTheme="minorEastAsia"/>
        </w:rPr>
        <w:t>202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年新增固定资产</w:t>
      </w:r>
      <w:r>
        <w:rPr>
          <w:rFonts w:hint="eastAsia" w:asciiTheme="minorEastAsia" w:hAnsiTheme="minorEastAsia" w:eastAsiaTheme="minorEastAsia"/>
          <w:lang w:val="en-US" w:eastAsia="zh-CN"/>
        </w:rPr>
        <w:t>26.45</w:t>
      </w:r>
      <w:r>
        <w:rPr>
          <w:rFonts w:hint="eastAsia" w:asciiTheme="minorEastAsia" w:hAnsiTheme="minorEastAsia" w:eastAsiaTheme="minorEastAsia"/>
        </w:rPr>
        <w:t>万元，主要添置办公设备。下属学校新增设备、房屋等均按要求纳入固定资产管理。</w:t>
      </w:r>
      <w:bookmarkStart w:id="0" w:name="_GoBack"/>
      <w:bookmarkEnd w:id="0"/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5.内部控制情况。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根据财政体制改革的要求，我单位积极主动配合，严格按照上级要求加强单位内部控制建设，制定了相关流程、制度。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6.信息公开情况。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根据财政的要求，我单位每年按时做好部门预算和财政决算，并按规定在《四川省政府信息公开目录管理平台》全部公开。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7.绩效评价情况。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根据财政的要求，我局每年都开展绩效评价，包括项目绩效和总体支出绩效。根据最近几年的情况，我局的项目支出和总体支出绩效都比较满意。</w:t>
      </w:r>
    </w:p>
    <w:p>
      <w:pPr>
        <w:pStyle w:val="33"/>
        <w:spacing w:line="560" w:lineRule="exact"/>
        <w:ind w:firstLine="64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8.接收财政监督情况。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我单位积极配合各级各类检查，认真落实区财政、区纪委和区监察委的各类专项资金检查和审计。发现问题及时整改，并及时向全区学校通报违规违纪现象，让所有学校引以为鉴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（四）整体绩效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1.部门履职结果。科协属于政府序列部门，我单位从领导到普通职工均严格按照各类规范和程序履行职责，按照法律法规办事， 确保科技工作健康、稳定、持续向好发展，全区人民和区委区政府都比较满意。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2.重点项目绩效情况。本年度我单位承担了科学技术普及工作，项目的开展为企业解决了一些困难，为全区脱贫攻坚的完成奠定了坚实的基础。</w:t>
      </w:r>
    </w:p>
    <w:p>
      <w:pPr>
        <w:pStyle w:val="33"/>
        <w:spacing w:line="560" w:lineRule="exac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3、从服务对象来看，本年度没有发生过群众举报教育违规违纪的情况，全区人民和区委区政府都比较满意。</w:t>
      </w:r>
    </w:p>
    <w:p>
      <w:pPr>
        <w:pStyle w:val="26"/>
        <w:numPr>
          <w:ilvl w:val="0"/>
          <w:numId w:val="0"/>
        </w:numPr>
        <w:spacing w:line="560" w:lineRule="exact"/>
        <w:ind w:firstLine="643" w:firstLineChars="200"/>
        <w:outlineLvl w:val="9"/>
        <w:rPr>
          <w:rFonts w:asciiTheme="minorEastAsia" w:hAnsiTheme="minorEastAsia" w:eastAsiaTheme="minorEastAsia"/>
          <w:b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hd w:val="clear" w:color="auto" w:fill="FFFFFF"/>
        </w:rPr>
        <w:t>四、评价结论及建议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（一）评价结论</w:t>
      </w:r>
    </w:p>
    <w:p>
      <w:pPr>
        <w:ind w:firstLine="640" w:firstLineChars="200"/>
        <w:rPr>
          <w:rFonts w:asciiTheme="minorEastAsia" w:hAnsiTheme="minorEastAsia" w:eastAsiaTheme="minorEastAsia"/>
          <w:lang w:val="zh-CN"/>
        </w:rPr>
      </w:pPr>
      <w:r>
        <w:rPr>
          <w:rFonts w:asciiTheme="minorEastAsia" w:hAnsiTheme="minorEastAsia" w:eastAsiaTheme="minorEastAsia"/>
          <w:lang w:val="zh-CN"/>
        </w:rPr>
        <w:t>经沙湾区</w:t>
      </w:r>
      <w:r>
        <w:rPr>
          <w:rFonts w:hint="eastAsia" w:asciiTheme="minorEastAsia" w:hAnsiTheme="minorEastAsia" w:eastAsiaTheme="minorEastAsia"/>
          <w:lang w:val="zh-CN"/>
        </w:rPr>
        <w:t>科学技术协会</w:t>
      </w:r>
      <w:r>
        <w:rPr>
          <w:rFonts w:asciiTheme="minorEastAsia" w:hAnsiTheme="minorEastAsia" w:eastAsiaTheme="minorEastAsia"/>
          <w:lang w:val="zh-CN"/>
        </w:rPr>
        <w:t>党组认真自评</w:t>
      </w:r>
      <w:r>
        <w:rPr>
          <w:rFonts w:hint="eastAsia" w:asciiTheme="minorEastAsia" w:hAnsiTheme="minorEastAsia" w:eastAsiaTheme="minorEastAsia"/>
          <w:lang w:val="zh-CN"/>
        </w:rPr>
        <w:t>，</w:t>
      </w:r>
      <w:r>
        <w:rPr>
          <w:rFonts w:asciiTheme="minorEastAsia" w:hAnsiTheme="minorEastAsia" w:eastAsiaTheme="minorEastAsia"/>
          <w:lang w:val="zh-CN"/>
        </w:rPr>
        <w:t>一致认为我单位</w:t>
      </w:r>
      <w:r>
        <w:rPr>
          <w:rFonts w:hint="eastAsia" w:asciiTheme="minorEastAsia" w:hAnsiTheme="minorEastAsia" w:eastAsiaTheme="minorEastAsia"/>
          <w:lang w:val="zh-CN"/>
        </w:rPr>
        <w:t>2020年整体支出绩效合格。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（二）存在问题</w:t>
      </w:r>
    </w:p>
    <w:p>
      <w:pPr>
        <w:pStyle w:val="27"/>
        <w:numPr>
          <w:ilvl w:val="0"/>
          <w:numId w:val="0"/>
        </w:numPr>
        <w:spacing w:line="560" w:lineRule="exact"/>
        <w:ind w:firstLine="640" w:firstLineChars="200"/>
        <w:jc w:val="both"/>
        <w:outlineLvl w:val="9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Cs w:val="32"/>
          <w:shd w:val="clear" w:color="auto" w:fill="FFFFFF"/>
        </w:rPr>
        <w:t>科普工作经费预算不够，影响了科技工作的进一步推广和运用。</w:t>
      </w:r>
    </w:p>
    <w:p>
      <w:pPr>
        <w:pStyle w:val="27"/>
        <w:numPr>
          <w:ilvl w:val="0"/>
          <w:numId w:val="0"/>
        </w:numPr>
        <w:spacing w:line="560" w:lineRule="exact"/>
        <w:ind w:left="635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b/>
          <w:szCs w:val="32"/>
          <w:shd w:val="clear" w:color="auto" w:fill="FFFFFF"/>
        </w:rPr>
        <w:t>（三）改进建议</w:t>
      </w:r>
    </w:p>
    <w:p>
      <w:pPr>
        <w:pStyle w:val="27"/>
        <w:numPr>
          <w:ilvl w:val="0"/>
          <w:numId w:val="0"/>
        </w:numPr>
        <w:spacing w:line="560" w:lineRule="exact"/>
        <w:ind w:firstLine="640" w:firstLineChars="200"/>
        <w:jc w:val="both"/>
        <w:outlineLvl w:val="9"/>
        <w:rPr>
          <w:rFonts w:asciiTheme="minorEastAsia" w:hAnsiTheme="minorEastAsia" w:eastAsiaTheme="minorEastAsia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/>
          <w:szCs w:val="32"/>
          <w:shd w:val="clear" w:color="auto" w:fill="FFFFFF"/>
        </w:rPr>
        <w:t>按国家规定标准预算科普工作经费。</w:t>
      </w:r>
    </w:p>
    <w:p>
      <w:pPr>
        <w:rPr>
          <w:rFonts w:asciiTheme="minorEastAsia" w:hAnsiTheme="minorEastAsia" w:eastAsiaTheme="minorEastAsia"/>
          <w:lang w:val="zh-CN"/>
        </w:rPr>
      </w:pPr>
    </w:p>
    <w:p>
      <w:pPr>
        <w:ind w:firstLine="5760" w:firstLineChars="1800"/>
        <w:rPr>
          <w:rFonts w:asciiTheme="minorEastAsia" w:hAnsiTheme="minorEastAsia" w:eastAsiaTheme="minorEastAsia"/>
          <w:lang w:val="zh-CN"/>
        </w:rPr>
      </w:pPr>
    </w:p>
    <w:p>
      <w:pPr>
        <w:ind w:firstLine="5760" w:firstLineChars="1800"/>
        <w:rPr>
          <w:rFonts w:asciiTheme="minorEastAsia" w:hAnsiTheme="minorEastAsia" w:eastAsiaTheme="minorEastAsia"/>
          <w:lang w:val="zh-CN"/>
        </w:rPr>
      </w:pPr>
      <w:r>
        <w:rPr>
          <w:rFonts w:hint="eastAsia" w:asciiTheme="minorEastAsia" w:hAnsiTheme="minorEastAsia" w:eastAsiaTheme="minorEastAsia"/>
          <w:lang w:val="zh-CN"/>
        </w:rPr>
        <w:t>202</w:t>
      </w:r>
      <w:r>
        <w:rPr>
          <w:rFonts w:hint="eastAsia" w:asciiTheme="minorEastAsia" w:hAnsiTheme="minorEastAsia" w:eastAsiaTheme="minorEastAsia"/>
          <w:lang w:val="en-US" w:eastAsia="zh-CN"/>
        </w:rPr>
        <w:t>2</w:t>
      </w:r>
      <w:r>
        <w:rPr>
          <w:rFonts w:hint="eastAsia" w:asciiTheme="minorEastAsia" w:hAnsiTheme="minorEastAsia" w:eastAsiaTheme="minorEastAsia"/>
          <w:lang w:val="zh-CN"/>
        </w:rPr>
        <w:t>年</w:t>
      </w:r>
      <w:r>
        <w:rPr>
          <w:rFonts w:hint="eastAsia" w:asciiTheme="minorEastAsia" w:hAnsiTheme="minorEastAsia" w:eastAsia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/>
          <w:lang w:val="zh-CN"/>
        </w:rPr>
        <w:t>月</w:t>
      </w:r>
      <w:r>
        <w:rPr>
          <w:rFonts w:hint="eastAsia" w:asciiTheme="minorEastAsia" w:hAnsiTheme="minorEastAsia" w:eastAsiaTheme="minorEastAsia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lang w:val="zh-CN"/>
        </w:rPr>
        <w:t xml:space="preserve">日 </w:t>
      </w:r>
    </w:p>
    <w:p>
      <w:pPr>
        <w:rPr>
          <w:rFonts w:asciiTheme="minorEastAsia" w:hAnsiTheme="minorEastAsia" w:eastAsiaTheme="minorEastAsia"/>
          <w:lang w:val="zh-CN"/>
        </w:rPr>
      </w:pPr>
    </w:p>
    <w:p>
      <w:pPr>
        <w:rPr>
          <w:rFonts w:asciiTheme="minorEastAsia" w:hAnsiTheme="minorEastAsia" w:eastAsiaTheme="minorEastAsia"/>
          <w:lang w:val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907" w:right="1361" w:bottom="851" w:left="1361" w:header="851" w:footer="992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hakuyoxingshu7000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kern w:val="0"/>
        <w:szCs w:val="21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9</w:t>
    </w:r>
    <w:r>
      <w:rPr>
        <w:rStyle w:val="10"/>
      </w:rP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226B4"/>
    <w:multiLevelType w:val="multilevel"/>
    <w:tmpl w:val="2B5226B4"/>
    <w:lvl w:ilvl="0" w:tentative="0">
      <w:start w:val="1"/>
      <w:numFmt w:val="decimal"/>
      <w:pStyle w:val="29"/>
      <w:suff w:val="nothing"/>
      <w:lvlText w:val="(%1)"/>
      <w:lvlJc w:val="left"/>
      <w:pPr>
        <w:ind w:left="0" w:firstLine="63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1">
    <w:nsid w:val="34F85EAF"/>
    <w:multiLevelType w:val="multilevel"/>
    <w:tmpl w:val="34F85EAF"/>
    <w:lvl w:ilvl="0" w:tentative="0">
      <w:start w:val="1"/>
      <w:numFmt w:val="chineseCountingThousand"/>
      <w:pStyle w:val="26"/>
      <w:suff w:val="nothing"/>
      <w:lvlText w:val="%1、"/>
      <w:lvlJc w:val="left"/>
      <w:pPr>
        <w:ind w:left="0" w:firstLine="63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77" w:hanging="420"/>
      </w:pPr>
    </w:lvl>
    <w:lvl w:ilvl="2" w:tentative="0">
      <w:start w:val="1"/>
      <w:numFmt w:val="lowerRoman"/>
      <w:lvlText w:val="%3."/>
      <w:lvlJc w:val="right"/>
      <w:pPr>
        <w:ind w:left="1897" w:hanging="420"/>
      </w:pPr>
    </w:lvl>
    <w:lvl w:ilvl="3" w:tentative="0">
      <w:start w:val="1"/>
      <w:numFmt w:val="decimal"/>
      <w:lvlText w:val="%4."/>
      <w:lvlJc w:val="left"/>
      <w:pPr>
        <w:ind w:left="2317" w:hanging="420"/>
      </w:pPr>
    </w:lvl>
    <w:lvl w:ilvl="4" w:tentative="0">
      <w:start w:val="1"/>
      <w:numFmt w:val="lowerLetter"/>
      <w:lvlText w:val="%5)"/>
      <w:lvlJc w:val="left"/>
      <w:pPr>
        <w:ind w:left="2737" w:hanging="420"/>
      </w:pPr>
    </w:lvl>
    <w:lvl w:ilvl="5" w:tentative="0">
      <w:start w:val="1"/>
      <w:numFmt w:val="lowerRoman"/>
      <w:lvlText w:val="%6."/>
      <w:lvlJc w:val="right"/>
      <w:pPr>
        <w:ind w:left="3157" w:hanging="420"/>
      </w:pPr>
    </w:lvl>
    <w:lvl w:ilvl="6" w:tentative="0">
      <w:start w:val="1"/>
      <w:numFmt w:val="decimal"/>
      <w:lvlText w:val="%7."/>
      <w:lvlJc w:val="left"/>
      <w:pPr>
        <w:ind w:left="3577" w:hanging="420"/>
      </w:pPr>
    </w:lvl>
    <w:lvl w:ilvl="7" w:tentative="0">
      <w:start w:val="1"/>
      <w:numFmt w:val="lowerLetter"/>
      <w:lvlText w:val="%8)"/>
      <w:lvlJc w:val="left"/>
      <w:pPr>
        <w:ind w:left="3997" w:hanging="420"/>
      </w:pPr>
    </w:lvl>
    <w:lvl w:ilvl="8" w:tentative="0">
      <w:start w:val="1"/>
      <w:numFmt w:val="lowerRoman"/>
      <w:lvlText w:val="%9."/>
      <w:lvlJc w:val="right"/>
      <w:pPr>
        <w:ind w:left="4417" w:hanging="420"/>
      </w:pPr>
    </w:lvl>
  </w:abstractNum>
  <w:abstractNum w:abstractNumId="2">
    <w:nsid w:val="5B63281F"/>
    <w:multiLevelType w:val="multilevel"/>
    <w:tmpl w:val="5B63281F"/>
    <w:lvl w:ilvl="0" w:tentative="0">
      <w:start w:val="1"/>
      <w:numFmt w:val="decimal"/>
      <w:pStyle w:val="28"/>
      <w:suff w:val="nothing"/>
      <w:lvlText w:val="%1."/>
      <w:lvlJc w:val="left"/>
      <w:pPr>
        <w:ind w:left="0" w:firstLine="63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75" w:hanging="420"/>
      </w:pPr>
    </w:lvl>
    <w:lvl w:ilvl="2" w:tentative="0">
      <w:start w:val="1"/>
      <w:numFmt w:val="lowerRoman"/>
      <w:lvlText w:val="%3."/>
      <w:lvlJc w:val="right"/>
      <w:pPr>
        <w:ind w:left="1895" w:hanging="420"/>
      </w:pPr>
    </w:lvl>
    <w:lvl w:ilvl="3" w:tentative="0">
      <w:start w:val="1"/>
      <w:numFmt w:val="decimal"/>
      <w:lvlText w:val="%4."/>
      <w:lvlJc w:val="left"/>
      <w:pPr>
        <w:ind w:left="2315" w:hanging="420"/>
      </w:pPr>
    </w:lvl>
    <w:lvl w:ilvl="4" w:tentative="0">
      <w:start w:val="1"/>
      <w:numFmt w:val="lowerLetter"/>
      <w:lvlText w:val="%5)"/>
      <w:lvlJc w:val="left"/>
      <w:pPr>
        <w:ind w:left="2735" w:hanging="420"/>
      </w:pPr>
    </w:lvl>
    <w:lvl w:ilvl="5" w:tentative="0">
      <w:start w:val="1"/>
      <w:numFmt w:val="lowerRoman"/>
      <w:lvlText w:val="%6."/>
      <w:lvlJc w:val="right"/>
      <w:pPr>
        <w:ind w:left="3155" w:hanging="420"/>
      </w:pPr>
    </w:lvl>
    <w:lvl w:ilvl="6" w:tentative="0">
      <w:start w:val="1"/>
      <w:numFmt w:val="decimal"/>
      <w:lvlText w:val="%7."/>
      <w:lvlJc w:val="left"/>
      <w:pPr>
        <w:ind w:left="3575" w:hanging="420"/>
      </w:pPr>
    </w:lvl>
    <w:lvl w:ilvl="7" w:tentative="0">
      <w:start w:val="1"/>
      <w:numFmt w:val="lowerLetter"/>
      <w:lvlText w:val="%8)"/>
      <w:lvlJc w:val="left"/>
      <w:pPr>
        <w:ind w:left="3995" w:hanging="420"/>
      </w:pPr>
    </w:lvl>
    <w:lvl w:ilvl="8" w:tentative="0">
      <w:start w:val="1"/>
      <w:numFmt w:val="lowerRoman"/>
      <w:lvlText w:val="%9."/>
      <w:lvlJc w:val="right"/>
      <w:pPr>
        <w:ind w:left="4415" w:hanging="420"/>
      </w:pPr>
    </w:lvl>
  </w:abstractNum>
  <w:abstractNum w:abstractNumId="3">
    <w:nsid w:val="7EE55BF3"/>
    <w:multiLevelType w:val="multilevel"/>
    <w:tmpl w:val="7EE55BF3"/>
    <w:lvl w:ilvl="0" w:tentative="0">
      <w:start w:val="1"/>
      <w:numFmt w:val="chineseCountingThousand"/>
      <w:pStyle w:val="27"/>
      <w:suff w:val="nothing"/>
      <w:lvlText w:val="（%1）"/>
      <w:lvlJc w:val="left"/>
      <w:pPr>
        <w:ind w:left="0" w:firstLine="635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980" w:hanging="360"/>
      </w:pPr>
      <w:rPr>
        <w:rFonts w:hint="default"/>
      </w:rPr>
    </w:lvl>
    <w:lvl w:ilvl="2" w:tentative="0">
      <w:start w:val="4"/>
      <w:numFmt w:val="japaneseCounting"/>
      <w:lvlText w:val="%3、"/>
      <w:lvlJc w:val="left"/>
      <w:pPr>
        <w:ind w:left="17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wM2Y0NmZiNTY1NzJlMDdhNWM2YTg3Y2I0ZjEwNDIifQ=="/>
  </w:docVars>
  <w:rsids>
    <w:rsidRoot w:val="00EC0174"/>
    <w:rsid w:val="00001664"/>
    <w:rsid w:val="00006E4D"/>
    <w:rsid w:val="00021652"/>
    <w:rsid w:val="0006102A"/>
    <w:rsid w:val="00065B0F"/>
    <w:rsid w:val="00065E7E"/>
    <w:rsid w:val="00080A42"/>
    <w:rsid w:val="000820BB"/>
    <w:rsid w:val="000868D2"/>
    <w:rsid w:val="00092280"/>
    <w:rsid w:val="00097FAE"/>
    <w:rsid w:val="000A3233"/>
    <w:rsid w:val="000A7CE3"/>
    <w:rsid w:val="000B04D6"/>
    <w:rsid w:val="000B15CE"/>
    <w:rsid w:val="000C3AB9"/>
    <w:rsid w:val="000C40C6"/>
    <w:rsid w:val="000C79C1"/>
    <w:rsid w:val="000D208A"/>
    <w:rsid w:val="000E037E"/>
    <w:rsid w:val="000E2D8C"/>
    <w:rsid w:val="000F3FF8"/>
    <w:rsid w:val="000F659A"/>
    <w:rsid w:val="000F77B0"/>
    <w:rsid w:val="0010235D"/>
    <w:rsid w:val="00103A47"/>
    <w:rsid w:val="00105856"/>
    <w:rsid w:val="00106D4D"/>
    <w:rsid w:val="001119A2"/>
    <w:rsid w:val="001221D6"/>
    <w:rsid w:val="0012510A"/>
    <w:rsid w:val="00125F67"/>
    <w:rsid w:val="001261AE"/>
    <w:rsid w:val="00132949"/>
    <w:rsid w:val="00133D04"/>
    <w:rsid w:val="001348A4"/>
    <w:rsid w:val="00136638"/>
    <w:rsid w:val="00137F06"/>
    <w:rsid w:val="0014117C"/>
    <w:rsid w:val="00146FE8"/>
    <w:rsid w:val="0014767B"/>
    <w:rsid w:val="00147AED"/>
    <w:rsid w:val="00153DC1"/>
    <w:rsid w:val="00177AAF"/>
    <w:rsid w:val="00183850"/>
    <w:rsid w:val="00184D9F"/>
    <w:rsid w:val="001A4749"/>
    <w:rsid w:val="001A4842"/>
    <w:rsid w:val="001A5833"/>
    <w:rsid w:val="001C0882"/>
    <w:rsid w:val="001C2158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24E06"/>
    <w:rsid w:val="002323A3"/>
    <w:rsid w:val="00236EF7"/>
    <w:rsid w:val="0024058A"/>
    <w:rsid w:val="002410C0"/>
    <w:rsid w:val="00252894"/>
    <w:rsid w:val="00253FA6"/>
    <w:rsid w:val="00254728"/>
    <w:rsid w:val="002558D4"/>
    <w:rsid w:val="002560E2"/>
    <w:rsid w:val="002563DF"/>
    <w:rsid w:val="00256F2A"/>
    <w:rsid w:val="00264CFA"/>
    <w:rsid w:val="00270DD7"/>
    <w:rsid w:val="00270EF9"/>
    <w:rsid w:val="00280BFB"/>
    <w:rsid w:val="00280C88"/>
    <w:rsid w:val="00295908"/>
    <w:rsid w:val="00296617"/>
    <w:rsid w:val="002973A4"/>
    <w:rsid w:val="002A0195"/>
    <w:rsid w:val="002A26CB"/>
    <w:rsid w:val="002B0FC4"/>
    <w:rsid w:val="002B1839"/>
    <w:rsid w:val="002B5B34"/>
    <w:rsid w:val="002B5CB7"/>
    <w:rsid w:val="002B7215"/>
    <w:rsid w:val="002C0AFD"/>
    <w:rsid w:val="002C59D0"/>
    <w:rsid w:val="002C66F6"/>
    <w:rsid w:val="002D1A18"/>
    <w:rsid w:val="002D1C58"/>
    <w:rsid w:val="002E1104"/>
    <w:rsid w:val="002E409F"/>
    <w:rsid w:val="002F3EC4"/>
    <w:rsid w:val="00301353"/>
    <w:rsid w:val="0030233F"/>
    <w:rsid w:val="0030244C"/>
    <w:rsid w:val="00305FF6"/>
    <w:rsid w:val="00306BA1"/>
    <w:rsid w:val="00307568"/>
    <w:rsid w:val="00311506"/>
    <w:rsid w:val="00316ADB"/>
    <w:rsid w:val="00317623"/>
    <w:rsid w:val="00335F67"/>
    <w:rsid w:val="003361E9"/>
    <w:rsid w:val="00337BB0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C7504"/>
    <w:rsid w:val="003C7DD9"/>
    <w:rsid w:val="003D10A2"/>
    <w:rsid w:val="003D33B8"/>
    <w:rsid w:val="003D624D"/>
    <w:rsid w:val="003D719A"/>
    <w:rsid w:val="003D7996"/>
    <w:rsid w:val="003E2820"/>
    <w:rsid w:val="003F5EB7"/>
    <w:rsid w:val="003F7FE2"/>
    <w:rsid w:val="004004E7"/>
    <w:rsid w:val="00411CDD"/>
    <w:rsid w:val="00416E1A"/>
    <w:rsid w:val="00417F18"/>
    <w:rsid w:val="004221DA"/>
    <w:rsid w:val="00426A3F"/>
    <w:rsid w:val="004277D4"/>
    <w:rsid w:val="00461638"/>
    <w:rsid w:val="004706FA"/>
    <w:rsid w:val="00474D8D"/>
    <w:rsid w:val="00475CCD"/>
    <w:rsid w:val="004838C0"/>
    <w:rsid w:val="00486492"/>
    <w:rsid w:val="00487F26"/>
    <w:rsid w:val="00492CF6"/>
    <w:rsid w:val="004A294D"/>
    <w:rsid w:val="004A4C9D"/>
    <w:rsid w:val="004C2078"/>
    <w:rsid w:val="004E752F"/>
    <w:rsid w:val="004F1E37"/>
    <w:rsid w:val="0050318A"/>
    <w:rsid w:val="00515198"/>
    <w:rsid w:val="00521C44"/>
    <w:rsid w:val="005243E2"/>
    <w:rsid w:val="005274E1"/>
    <w:rsid w:val="00531DDF"/>
    <w:rsid w:val="00535FA6"/>
    <w:rsid w:val="0055358D"/>
    <w:rsid w:val="005540C8"/>
    <w:rsid w:val="00555809"/>
    <w:rsid w:val="00556345"/>
    <w:rsid w:val="00562165"/>
    <w:rsid w:val="00564B75"/>
    <w:rsid w:val="005756AF"/>
    <w:rsid w:val="00575A4A"/>
    <w:rsid w:val="00585788"/>
    <w:rsid w:val="005A1DAF"/>
    <w:rsid w:val="005C17C8"/>
    <w:rsid w:val="005C2098"/>
    <w:rsid w:val="005D0CCF"/>
    <w:rsid w:val="005E297D"/>
    <w:rsid w:val="005F627E"/>
    <w:rsid w:val="0061652E"/>
    <w:rsid w:val="006205E9"/>
    <w:rsid w:val="00622D0B"/>
    <w:rsid w:val="006270DA"/>
    <w:rsid w:val="00630B75"/>
    <w:rsid w:val="00632C48"/>
    <w:rsid w:val="00634DFF"/>
    <w:rsid w:val="00635337"/>
    <w:rsid w:val="0064265B"/>
    <w:rsid w:val="0064519C"/>
    <w:rsid w:val="006500A9"/>
    <w:rsid w:val="0065082E"/>
    <w:rsid w:val="006512D0"/>
    <w:rsid w:val="00654CF6"/>
    <w:rsid w:val="006560A3"/>
    <w:rsid w:val="00656301"/>
    <w:rsid w:val="006600C9"/>
    <w:rsid w:val="006701CC"/>
    <w:rsid w:val="00671F58"/>
    <w:rsid w:val="00672AAB"/>
    <w:rsid w:val="006900E7"/>
    <w:rsid w:val="006946AF"/>
    <w:rsid w:val="006A00A8"/>
    <w:rsid w:val="006A4B7E"/>
    <w:rsid w:val="006B11E0"/>
    <w:rsid w:val="006B386A"/>
    <w:rsid w:val="006B7CB4"/>
    <w:rsid w:val="006C24D3"/>
    <w:rsid w:val="006C7917"/>
    <w:rsid w:val="006D4157"/>
    <w:rsid w:val="006E51AE"/>
    <w:rsid w:val="006E712D"/>
    <w:rsid w:val="0070081F"/>
    <w:rsid w:val="007018F5"/>
    <w:rsid w:val="00710897"/>
    <w:rsid w:val="00712F45"/>
    <w:rsid w:val="00731F03"/>
    <w:rsid w:val="00734305"/>
    <w:rsid w:val="00734B64"/>
    <w:rsid w:val="00736A42"/>
    <w:rsid w:val="007370E1"/>
    <w:rsid w:val="00746BFC"/>
    <w:rsid w:val="00771159"/>
    <w:rsid w:val="007732A1"/>
    <w:rsid w:val="00774C4A"/>
    <w:rsid w:val="007A0690"/>
    <w:rsid w:val="007A078F"/>
    <w:rsid w:val="007B1370"/>
    <w:rsid w:val="007B34D4"/>
    <w:rsid w:val="007C0633"/>
    <w:rsid w:val="007D086C"/>
    <w:rsid w:val="007F0676"/>
    <w:rsid w:val="007F1BE1"/>
    <w:rsid w:val="007F707F"/>
    <w:rsid w:val="007F794C"/>
    <w:rsid w:val="007F7AC9"/>
    <w:rsid w:val="00803B42"/>
    <w:rsid w:val="0081095C"/>
    <w:rsid w:val="00810C41"/>
    <w:rsid w:val="008212FF"/>
    <w:rsid w:val="0082593B"/>
    <w:rsid w:val="00827537"/>
    <w:rsid w:val="0083342C"/>
    <w:rsid w:val="0084676E"/>
    <w:rsid w:val="008468EA"/>
    <w:rsid w:val="008502BC"/>
    <w:rsid w:val="00867140"/>
    <w:rsid w:val="00881134"/>
    <w:rsid w:val="008904F0"/>
    <w:rsid w:val="00890BB8"/>
    <w:rsid w:val="008918C5"/>
    <w:rsid w:val="00891DC4"/>
    <w:rsid w:val="008B2F27"/>
    <w:rsid w:val="008B4A72"/>
    <w:rsid w:val="008B585E"/>
    <w:rsid w:val="008E6C0C"/>
    <w:rsid w:val="008F2579"/>
    <w:rsid w:val="008F3052"/>
    <w:rsid w:val="00901E19"/>
    <w:rsid w:val="009214F7"/>
    <w:rsid w:val="00921CD7"/>
    <w:rsid w:val="0092486A"/>
    <w:rsid w:val="009315F2"/>
    <w:rsid w:val="00934F1E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A0E5F"/>
    <w:rsid w:val="009A18CA"/>
    <w:rsid w:val="009D542D"/>
    <w:rsid w:val="009F233E"/>
    <w:rsid w:val="009F739B"/>
    <w:rsid w:val="00A024AB"/>
    <w:rsid w:val="00A050A5"/>
    <w:rsid w:val="00A05B8B"/>
    <w:rsid w:val="00A1372F"/>
    <w:rsid w:val="00A170EC"/>
    <w:rsid w:val="00A20EE1"/>
    <w:rsid w:val="00A217B3"/>
    <w:rsid w:val="00A23D04"/>
    <w:rsid w:val="00A277D9"/>
    <w:rsid w:val="00A3026C"/>
    <w:rsid w:val="00A30CEB"/>
    <w:rsid w:val="00A54ED7"/>
    <w:rsid w:val="00A9670E"/>
    <w:rsid w:val="00AA0172"/>
    <w:rsid w:val="00AA1423"/>
    <w:rsid w:val="00AA1664"/>
    <w:rsid w:val="00AB7996"/>
    <w:rsid w:val="00AC43C3"/>
    <w:rsid w:val="00AF77BE"/>
    <w:rsid w:val="00B11CEE"/>
    <w:rsid w:val="00B23428"/>
    <w:rsid w:val="00B264BF"/>
    <w:rsid w:val="00B42E74"/>
    <w:rsid w:val="00B46874"/>
    <w:rsid w:val="00B4705F"/>
    <w:rsid w:val="00B50AE6"/>
    <w:rsid w:val="00B51151"/>
    <w:rsid w:val="00B523E4"/>
    <w:rsid w:val="00B52B4F"/>
    <w:rsid w:val="00B6108C"/>
    <w:rsid w:val="00B649AD"/>
    <w:rsid w:val="00B64B9C"/>
    <w:rsid w:val="00B735CC"/>
    <w:rsid w:val="00B82C95"/>
    <w:rsid w:val="00B83F87"/>
    <w:rsid w:val="00B84DFD"/>
    <w:rsid w:val="00BA0152"/>
    <w:rsid w:val="00BB4E38"/>
    <w:rsid w:val="00BC03BA"/>
    <w:rsid w:val="00BC166E"/>
    <w:rsid w:val="00BC3879"/>
    <w:rsid w:val="00BC3CF5"/>
    <w:rsid w:val="00BD0E0D"/>
    <w:rsid w:val="00BD41BC"/>
    <w:rsid w:val="00BD55AD"/>
    <w:rsid w:val="00BE0305"/>
    <w:rsid w:val="00BE20F9"/>
    <w:rsid w:val="00BF15F0"/>
    <w:rsid w:val="00C03559"/>
    <w:rsid w:val="00C05395"/>
    <w:rsid w:val="00C22AD7"/>
    <w:rsid w:val="00C26D7B"/>
    <w:rsid w:val="00C272C1"/>
    <w:rsid w:val="00C32A68"/>
    <w:rsid w:val="00C34282"/>
    <w:rsid w:val="00C35350"/>
    <w:rsid w:val="00C3564B"/>
    <w:rsid w:val="00C442D3"/>
    <w:rsid w:val="00C53721"/>
    <w:rsid w:val="00C64D2E"/>
    <w:rsid w:val="00C7497C"/>
    <w:rsid w:val="00C75966"/>
    <w:rsid w:val="00C76577"/>
    <w:rsid w:val="00C80225"/>
    <w:rsid w:val="00C81349"/>
    <w:rsid w:val="00C83B4F"/>
    <w:rsid w:val="00CA08A0"/>
    <w:rsid w:val="00CA32D2"/>
    <w:rsid w:val="00CA4E07"/>
    <w:rsid w:val="00CA737D"/>
    <w:rsid w:val="00CB1EF5"/>
    <w:rsid w:val="00CC3D55"/>
    <w:rsid w:val="00CC7166"/>
    <w:rsid w:val="00CF5275"/>
    <w:rsid w:val="00CF6136"/>
    <w:rsid w:val="00D0023D"/>
    <w:rsid w:val="00D006C6"/>
    <w:rsid w:val="00D14A65"/>
    <w:rsid w:val="00D162B9"/>
    <w:rsid w:val="00D201A6"/>
    <w:rsid w:val="00D251E2"/>
    <w:rsid w:val="00D254F4"/>
    <w:rsid w:val="00D263A7"/>
    <w:rsid w:val="00D26B5D"/>
    <w:rsid w:val="00D33159"/>
    <w:rsid w:val="00D33A19"/>
    <w:rsid w:val="00D51791"/>
    <w:rsid w:val="00D5281E"/>
    <w:rsid w:val="00D6531B"/>
    <w:rsid w:val="00D6612D"/>
    <w:rsid w:val="00D710BE"/>
    <w:rsid w:val="00D71AD9"/>
    <w:rsid w:val="00D73C02"/>
    <w:rsid w:val="00D872ED"/>
    <w:rsid w:val="00D913C6"/>
    <w:rsid w:val="00DA0236"/>
    <w:rsid w:val="00DA5D51"/>
    <w:rsid w:val="00DA5E29"/>
    <w:rsid w:val="00DA61CA"/>
    <w:rsid w:val="00DB3D29"/>
    <w:rsid w:val="00DB66BB"/>
    <w:rsid w:val="00DB73AF"/>
    <w:rsid w:val="00DC2865"/>
    <w:rsid w:val="00DD0894"/>
    <w:rsid w:val="00DD1E8C"/>
    <w:rsid w:val="00DE1888"/>
    <w:rsid w:val="00DE7CFB"/>
    <w:rsid w:val="00DF1250"/>
    <w:rsid w:val="00DF1CDB"/>
    <w:rsid w:val="00DF6EF7"/>
    <w:rsid w:val="00E05454"/>
    <w:rsid w:val="00E074C3"/>
    <w:rsid w:val="00E22EAE"/>
    <w:rsid w:val="00E23329"/>
    <w:rsid w:val="00E24D6D"/>
    <w:rsid w:val="00E341B2"/>
    <w:rsid w:val="00E42633"/>
    <w:rsid w:val="00E5699E"/>
    <w:rsid w:val="00E570E1"/>
    <w:rsid w:val="00E61E73"/>
    <w:rsid w:val="00E72773"/>
    <w:rsid w:val="00E76739"/>
    <w:rsid w:val="00E76C68"/>
    <w:rsid w:val="00E772DC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A4E"/>
    <w:rsid w:val="00ED6F57"/>
    <w:rsid w:val="00ED72EA"/>
    <w:rsid w:val="00EE3A4F"/>
    <w:rsid w:val="00EF10C3"/>
    <w:rsid w:val="00EF3BD2"/>
    <w:rsid w:val="00F02712"/>
    <w:rsid w:val="00F16BCE"/>
    <w:rsid w:val="00F45DA1"/>
    <w:rsid w:val="00F5267B"/>
    <w:rsid w:val="00F53E8B"/>
    <w:rsid w:val="00F54C21"/>
    <w:rsid w:val="00F54E6A"/>
    <w:rsid w:val="00F663FD"/>
    <w:rsid w:val="00F743B0"/>
    <w:rsid w:val="00F84580"/>
    <w:rsid w:val="00F873DA"/>
    <w:rsid w:val="00F95982"/>
    <w:rsid w:val="00FA17DE"/>
    <w:rsid w:val="00FA190E"/>
    <w:rsid w:val="00FA288B"/>
    <w:rsid w:val="00FA2997"/>
    <w:rsid w:val="00FA2C71"/>
    <w:rsid w:val="00FB0471"/>
    <w:rsid w:val="00FB3345"/>
    <w:rsid w:val="00FB696B"/>
    <w:rsid w:val="00FC5F07"/>
    <w:rsid w:val="00FD0228"/>
    <w:rsid w:val="00FD3BB7"/>
    <w:rsid w:val="00FD616A"/>
    <w:rsid w:val="00FE0D93"/>
    <w:rsid w:val="00FF2572"/>
    <w:rsid w:val="00FF32AD"/>
    <w:rsid w:val="079B7D68"/>
    <w:rsid w:val="20187B05"/>
    <w:rsid w:val="40020456"/>
    <w:rsid w:val="442D799E"/>
    <w:rsid w:val="5E1E62B0"/>
    <w:rsid w:val="5F2C5450"/>
    <w:rsid w:val="700D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qFormat/>
    <w:uiPriority w:val="0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36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paragraph" w:customStyle="1" w:styleId="11">
    <w:name w:val="四号正文"/>
    <w:basedOn w:val="1"/>
    <w:link w:val="12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2">
    <w:name w:val="四号正文 Char"/>
    <w:link w:val="11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3">
    <w:name w:val="文档结构图 Char"/>
    <w:link w:val="2"/>
    <w:qFormat/>
    <w:uiPriority w:val="0"/>
    <w:rPr>
      <w:rFonts w:ascii="宋体"/>
      <w:kern w:val="2"/>
      <w:sz w:val="18"/>
      <w:szCs w:val="18"/>
    </w:rPr>
  </w:style>
  <w:style w:type="paragraph" w:customStyle="1" w:styleId="14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5">
    <w:name w:val="〖A01〗密级、紧急及附件"/>
    <w:next w:val="1"/>
    <w:qFormat/>
    <w:uiPriority w:val="0"/>
    <w:pPr>
      <w:spacing w:line="600" w:lineRule="exact"/>
    </w:pPr>
    <w:rPr>
      <w:rFonts w:ascii="黑体" w:hAnsi="Calibri" w:eastAsia="黑体" w:cs="Times New Roman"/>
      <w:kern w:val="2"/>
      <w:sz w:val="32"/>
      <w:szCs w:val="21"/>
      <w:lang w:val="en-US" w:eastAsia="zh-CN" w:bidi="ar-SA"/>
    </w:rPr>
  </w:style>
  <w:style w:type="paragraph" w:customStyle="1" w:styleId="16">
    <w:name w:val="〖A02〗签发人姓名"/>
    <w:next w:val="1"/>
    <w:link w:val="17"/>
    <w:qFormat/>
    <w:uiPriority w:val="0"/>
    <w:pPr>
      <w:tabs>
        <w:tab w:val="right" w:pos="8626"/>
      </w:tabs>
      <w:spacing w:line="600" w:lineRule="exact"/>
    </w:pPr>
    <w:rPr>
      <w:rFonts w:ascii="楷体_GB2312" w:hAnsi="Calibri" w:eastAsia="楷体_GB2312" w:cs="Times New Roman"/>
      <w:kern w:val="2"/>
      <w:sz w:val="32"/>
      <w:szCs w:val="21"/>
      <w:lang w:val="en-US" w:eastAsia="zh-CN" w:bidi="ar-SA"/>
    </w:rPr>
  </w:style>
  <w:style w:type="character" w:customStyle="1" w:styleId="17">
    <w:name w:val="〖A02〗签发人姓名 Char"/>
    <w:link w:val="16"/>
    <w:qFormat/>
    <w:uiPriority w:val="0"/>
    <w:rPr>
      <w:rFonts w:ascii="楷体_GB2312" w:hAnsi="Calibri" w:eastAsia="楷体_GB2312"/>
      <w:kern w:val="2"/>
      <w:sz w:val="32"/>
      <w:szCs w:val="21"/>
      <w:lang w:bidi="ar-SA"/>
    </w:rPr>
  </w:style>
  <w:style w:type="paragraph" w:customStyle="1" w:styleId="18">
    <w:name w:val="〖A02〗上行文文号"/>
    <w:next w:val="1"/>
    <w:qFormat/>
    <w:uiPriority w:val="0"/>
    <w:pPr>
      <w:tabs>
        <w:tab w:val="left" w:pos="318"/>
        <w:tab w:val="right" w:pos="8626"/>
      </w:tabs>
      <w:topLinePunct/>
      <w:spacing w:line="600" w:lineRule="exact"/>
      <w:ind w:left="318" w:right="318"/>
    </w:pPr>
    <w:rPr>
      <w:rFonts w:ascii="仿宋_GB2312" w:hAnsi="Calibri" w:eastAsia="仿宋_GB2312" w:cs="Times New Roman"/>
      <w:kern w:val="2"/>
      <w:sz w:val="32"/>
      <w:szCs w:val="21"/>
      <w:lang w:val="en-US" w:eastAsia="zh-CN" w:bidi="ar-SA"/>
    </w:rPr>
  </w:style>
  <w:style w:type="paragraph" w:customStyle="1" w:styleId="19">
    <w:name w:val="〖A03〗下行文文号"/>
    <w:next w:val="1"/>
    <w:qFormat/>
    <w:uiPriority w:val="0"/>
    <w:pPr>
      <w:topLinePunct/>
      <w:spacing w:line="600" w:lineRule="exact"/>
      <w:jc w:val="center"/>
    </w:pPr>
    <w:rPr>
      <w:rFonts w:ascii="仿宋_GB2312" w:hAnsi="Calibri" w:eastAsia="仿宋_GB2312" w:cs="Times New Roman"/>
      <w:kern w:val="2"/>
      <w:sz w:val="32"/>
      <w:szCs w:val="21"/>
      <w:lang w:val="en-US" w:eastAsia="zh-CN" w:bidi="ar-SA"/>
    </w:rPr>
  </w:style>
  <w:style w:type="paragraph" w:customStyle="1" w:styleId="20">
    <w:name w:val="〖A04〗函件文号"/>
    <w:next w:val="1"/>
    <w:qFormat/>
    <w:uiPriority w:val="0"/>
    <w:pPr>
      <w:spacing w:line="600" w:lineRule="exact"/>
      <w:ind w:left="318" w:right="318"/>
      <w:jc w:val="right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21">
    <w:name w:val="〖A08〗公文标题"/>
    <w:next w:val="1"/>
    <w:qFormat/>
    <w:uiPriority w:val="0"/>
    <w:pPr>
      <w:widowControl w:val="0"/>
      <w:topLinePunct/>
      <w:spacing w:line="700" w:lineRule="exact"/>
      <w:jc w:val="center"/>
    </w:pPr>
    <w:rPr>
      <w:rFonts w:ascii="方正小标宋简体" w:hAnsi="Calibri" w:eastAsia="方正小标宋简体" w:cs="Times New Roman"/>
      <w:kern w:val="2"/>
      <w:sz w:val="44"/>
      <w:szCs w:val="21"/>
      <w:lang w:val="en-US" w:eastAsia="zh-CN" w:bidi="ar-SA"/>
    </w:rPr>
  </w:style>
  <w:style w:type="paragraph" w:customStyle="1" w:styleId="22">
    <w:name w:val="〖A09〗主送机关"/>
    <w:next w:val="1"/>
    <w:qFormat/>
    <w:uiPriority w:val="0"/>
    <w:pPr>
      <w:widowControl w:val="0"/>
      <w:topLinePunct/>
      <w:spacing w:line="600" w:lineRule="exact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23">
    <w:name w:val="〖A10〗版记"/>
    <w:qFormat/>
    <w:uiPriority w:val="0"/>
    <w:pPr>
      <w:widowControl w:val="0"/>
      <w:pBdr>
        <w:top w:val="single" w:color="auto" w:sz="4" w:space="1"/>
        <w:bottom w:val="single" w:color="auto" w:sz="4" w:space="1"/>
        <w:between w:val="single" w:color="auto" w:sz="4" w:space="1"/>
      </w:pBdr>
      <w:tabs>
        <w:tab w:val="left" w:pos="278"/>
        <w:tab w:val="right" w:pos="8665"/>
      </w:tabs>
      <w:topLinePunct/>
      <w:spacing w:line="600" w:lineRule="exact"/>
      <w:ind w:left="1105" w:hanging="1105" w:hangingChars="397"/>
    </w:pPr>
    <w:rPr>
      <w:rFonts w:ascii="仿宋_GB2312" w:hAnsi="Calibri" w:eastAsia="仿宋_GB2312" w:cs="Times New Roman"/>
      <w:kern w:val="2"/>
      <w:sz w:val="28"/>
      <w:szCs w:val="28"/>
      <w:lang w:val="en-US" w:eastAsia="zh-CN" w:bidi="ar-SA"/>
    </w:rPr>
  </w:style>
  <w:style w:type="paragraph" w:customStyle="1" w:styleId="24">
    <w:name w:val="〖A11〗偶数页码，4页以上"/>
    <w:basedOn w:val="5"/>
    <w:qFormat/>
    <w:uiPriority w:val="0"/>
    <w:pPr>
      <w:topLinePunct/>
      <w:ind w:left="134" w:leftChars="134"/>
    </w:pPr>
    <w:rPr>
      <w:rFonts w:ascii="宋体"/>
      <w:kern w:val="0"/>
      <w:sz w:val="28"/>
      <w:szCs w:val="28"/>
    </w:rPr>
  </w:style>
  <w:style w:type="paragraph" w:customStyle="1" w:styleId="25">
    <w:name w:val="〖A11〗奇数页码，4页以上"/>
    <w:basedOn w:val="5"/>
    <w:qFormat/>
    <w:uiPriority w:val="0"/>
    <w:pPr>
      <w:topLinePunct/>
      <w:ind w:right="134" w:rightChars="134"/>
      <w:jc w:val="right"/>
    </w:pPr>
    <w:rPr>
      <w:rFonts w:ascii="宋体"/>
      <w:kern w:val="0"/>
      <w:sz w:val="28"/>
      <w:szCs w:val="28"/>
    </w:rPr>
  </w:style>
  <w:style w:type="paragraph" w:customStyle="1" w:styleId="26">
    <w:name w:val="〖B01〗一级标题"/>
    <w:next w:val="1"/>
    <w:qFormat/>
    <w:uiPriority w:val="0"/>
    <w:pPr>
      <w:numPr>
        <w:ilvl w:val="0"/>
        <w:numId w:val="1"/>
      </w:numPr>
      <w:topLinePunct/>
      <w:spacing w:line="600" w:lineRule="exact"/>
      <w:outlineLvl w:val="0"/>
    </w:pPr>
    <w:rPr>
      <w:rFonts w:ascii="黑体" w:hAnsi="Calibri" w:eastAsia="黑体" w:cs="Times New Roman"/>
      <w:kern w:val="2"/>
      <w:sz w:val="32"/>
      <w:szCs w:val="32"/>
      <w:lang w:val="en-US" w:eastAsia="zh-CN" w:bidi="ar-SA"/>
    </w:rPr>
  </w:style>
  <w:style w:type="paragraph" w:customStyle="1" w:styleId="27">
    <w:name w:val="〖B02〗二级标题"/>
    <w:next w:val="1"/>
    <w:qFormat/>
    <w:uiPriority w:val="0"/>
    <w:pPr>
      <w:widowControl w:val="0"/>
      <w:numPr>
        <w:ilvl w:val="0"/>
        <w:numId w:val="2"/>
      </w:numPr>
      <w:spacing w:line="600" w:lineRule="exact"/>
      <w:outlineLvl w:val="1"/>
    </w:pPr>
    <w:rPr>
      <w:rFonts w:ascii="楷体_GB2312" w:hAnsi="Calibri" w:eastAsia="楷体_GB2312" w:cs="Times New Roman"/>
      <w:kern w:val="2"/>
      <w:sz w:val="32"/>
      <w:szCs w:val="21"/>
      <w:lang w:val="zh-CN" w:eastAsia="zh-CN" w:bidi="ar-SA"/>
    </w:rPr>
  </w:style>
  <w:style w:type="paragraph" w:customStyle="1" w:styleId="28">
    <w:name w:val="〖B03〗三级标题"/>
    <w:qFormat/>
    <w:uiPriority w:val="0"/>
    <w:pPr>
      <w:numPr>
        <w:ilvl w:val="0"/>
        <w:numId w:val="3"/>
      </w:numPr>
      <w:topLinePunct/>
      <w:spacing w:line="600" w:lineRule="exact"/>
      <w:outlineLvl w:val="2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29">
    <w:name w:val="〖B04〗四级标题"/>
    <w:next w:val="1"/>
    <w:qFormat/>
    <w:uiPriority w:val="0"/>
    <w:pPr>
      <w:widowControl w:val="0"/>
      <w:numPr>
        <w:ilvl w:val="0"/>
        <w:numId w:val="4"/>
      </w:numPr>
      <w:spacing w:line="600" w:lineRule="exact"/>
      <w:outlineLvl w:val="3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0">
    <w:name w:val="〖B09〗附件说明（无顺序号）"/>
    <w:next w:val="1"/>
    <w:qFormat/>
    <w:uiPriority w:val="0"/>
    <w:pPr>
      <w:widowControl w:val="0"/>
      <w:topLinePunct/>
      <w:spacing w:line="600" w:lineRule="exact"/>
      <w:ind w:left="1588" w:hanging="953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1">
    <w:name w:val="〖B10〗附件说明（1）"/>
    <w:next w:val="1"/>
    <w:qFormat/>
    <w:uiPriority w:val="0"/>
    <w:pPr>
      <w:widowControl w:val="0"/>
      <w:spacing w:line="600" w:lineRule="exact"/>
      <w:ind w:left="1905" w:hanging="1270"/>
    </w:pPr>
    <w:rPr>
      <w:rFonts w:ascii="仿宋_GB2312" w:hAnsi="Calibri" w:eastAsia="仿宋_GB2312" w:cs="Times New Roman"/>
      <w:kern w:val="2"/>
      <w:sz w:val="32"/>
      <w:szCs w:val="21"/>
      <w:lang w:val="en-US" w:eastAsia="zh-CN" w:bidi="ar-SA"/>
    </w:rPr>
  </w:style>
  <w:style w:type="paragraph" w:customStyle="1" w:styleId="32">
    <w:name w:val="〖B10〗附件说明（234...）"/>
    <w:next w:val="1"/>
    <w:qFormat/>
    <w:uiPriority w:val="0"/>
    <w:pPr>
      <w:widowControl w:val="0"/>
      <w:spacing w:line="600" w:lineRule="exact"/>
      <w:ind w:left="1906" w:hanging="318"/>
    </w:pPr>
    <w:rPr>
      <w:rFonts w:ascii="仿宋_GB2312" w:hAnsi="Calibri" w:eastAsia="仿宋_GB2312" w:cs="Times New Roman"/>
      <w:kern w:val="2"/>
      <w:sz w:val="32"/>
      <w:szCs w:val="21"/>
      <w:lang w:val="en-US" w:eastAsia="zh-CN" w:bidi="ar-SA"/>
    </w:rPr>
  </w:style>
  <w:style w:type="paragraph" w:customStyle="1" w:styleId="33">
    <w:name w:val="〖C01〗正文"/>
    <w:qFormat/>
    <w:uiPriority w:val="0"/>
    <w:pPr>
      <w:widowControl w:val="0"/>
      <w:topLinePunct/>
      <w:spacing w:line="600" w:lineRule="exact"/>
      <w:ind w:firstLine="637" w:firstLineChars="200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4">
    <w:name w:val="〖C02〗发文单位及日期"/>
    <w:next w:val="33"/>
    <w:qFormat/>
    <w:uiPriority w:val="0"/>
    <w:pPr>
      <w:tabs>
        <w:tab w:val="center" w:pos="6656"/>
      </w:tabs>
      <w:topLinePunct/>
      <w:spacing w:line="600" w:lineRule="exact"/>
      <w:ind w:firstLine="637" w:firstLineChars="200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35">
    <w:name w:val="〖C11〗图片格式"/>
    <w:next w:val="33"/>
    <w:qFormat/>
    <w:uiPriority w:val="0"/>
    <w:pPr>
      <w:widowControl w:val="0"/>
      <w:jc w:val="center"/>
    </w:pPr>
    <w:rPr>
      <w:rFonts w:ascii="仿宋_GB2312" w:hAnsi="Calibri" w:eastAsia="仿宋_GB2312" w:cs="宋体"/>
      <w:kern w:val="2"/>
      <w:sz w:val="32"/>
      <w:lang w:val="en-US" w:eastAsia="zh-CN" w:bidi="ar-SA"/>
    </w:rPr>
  </w:style>
  <w:style w:type="character" w:customStyle="1" w:styleId="36">
    <w:name w:val="日期 Char"/>
    <w:basedOn w:val="9"/>
    <w:link w:val="3"/>
    <w:qFormat/>
    <w:uiPriority w:val="0"/>
    <w:rPr>
      <w:rFonts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PSZX</Company>
  <Pages>6</Pages>
  <Words>2822</Words>
  <Characters>2987</Characters>
  <Lines>24</Lines>
  <Paragraphs>6</Paragraphs>
  <TotalTime>13</TotalTime>
  <ScaleCrop>false</ScaleCrop>
  <LinksUpToDate>false</LinksUpToDate>
  <CharactersWithSpaces>2991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2019-07-11T02:15:00Z</dcterms:created>
  <dc:creator>陈萍</dc:creator>
  <cp:lastModifiedBy>明天会好</cp:lastModifiedBy>
  <cp:lastPrinted>2020-11-08T07:24:00Z</cp:lastPrinted>
  <dcterms:modified xsi:type="dcterms:W3CDTF">2022-06-28T02:22:39Z</dcterms:modified>
  <dc:title>区域性就业培训基地建设项目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CAB3C91EB55C46C5AA350F7BD7E7FED5</vt:lpwstr>
  </property>
</Properties>
</file>