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81E6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br w:type="textWrapping"/>
      </w:r>
      <w:r>
        <w:rPr>
          <w:rFonts w:hint="eastAsia" w:ascii="宋体" w:hAnsi="宋体" w:eastAsia="宋体" w:cs="宋体"/>
          <w:sz w:val="28"/>
          <w:szCs w:val="28"/>
        </w:rPr>
        <w:t>目录</w:t>
      </w:r>
    </w:p>
    <w:p w14:paraId="732EA861">
      <w:pPr>
        <w:pStyle w:val="2"/>
        <w:keepNext w:val="0"/>
        <w:keepLines w:val="0"/>
        <w:widowControl/>
        <w:suppressLineNumbers w:val="0"/>
        <w:spacing w:before="75" w:beforeAutospacing="0" w:after="210" w:afterAutospacing="0"/>
        <w:ind w:left="0" w:right="0"/>
      </w:pPr>
    </w:p>
    <w:p w14:paraId="446739C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第一部分 部门概况</w:t>
      </w:r>
    </w:p>
    <w:p w14:paraId="76237327">
      <w:pPr>
        <w:pStyle w:val="2"/>
        <w:keepNext w:val="0"/>
        <w:keepLines w:val="0"/>
        <w:widowControl/>
        <w:suppressLineNumbers w:val="0"/>
        <w:spacing w:before="75" w:beforeAutospacing="0" w:after="210" w:afterAutospacing="0"/>
        <w:ind w:left="0" w:right="0"/>
      </w:pPr>
    </w:p>
    <w:p w14:paraId="22E6884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 基本职能及主要工作</w:t>
      </w:r>
    </w:p>
    <w:p w14:paraId="3797D9E7">
      <w:pPr>
        <w:pStyle w:val="2"/>
        <w:keepNext w:val="0"/>
        <w:keepLines w:val="0"/>
        <w:widowControl/>
        <w:suppressLineNumbers w:val="0"/>
        <w:spacing w:before="75" w:beforeAutospacing="0" w:after="210" w:afterAutospacing="0"/>
        <w:ind w:left="0" w:right="0"/>
      </w:pPr>
    </w:p>
    <w:p w14:paraId="5398BEB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二、机构设置</w:t>
      </w:r>
    </w:p>
    <w:p w14:paraId="1D4B66AA">
      <w:pPr>
        <w:pStyle w:val="2"/>
        <w:keepNext w:val="0"/>
        <w:keepLines w:val="0"/>
        <w:widowControl/>
        <w:suppressLineNumbers w:val="0"/>
        <w:spacing w:before="75" w:beforeAutospacing="0" w:after="210" w:afterAutospacing="0"/>
        <w:ind w:left="0" w:right="0"/>
      </w:pPr>
    </w:p>
    <w:p w14:paraId="7022016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第二部分 2020年度部门决算情况说明</w:t>
      </w:r>
    </w:p>
    <w:p w14:paraId="6115C5BC">
      <w:pPr>
        <w:pStyle w:val="2"/>
        <w:keepNext w:val="0"/>
        <w:keepLines w:val="0"/>
        <w:widowControl/>
        <w:suppressLineNumbers w:val="0"/>
        <w:spacing w:before="75" w:beforeAutospacing="0" w:after="210" w:afterAutospacing="0"/>
        <w:ind w:left="0" w:right="0"/>
      </w:pPr>
    </w:p>
    <w:p w14:paraId="00DA51D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 收入支出决算总体情况说明</w:t>
      </w:r>
    </w:p>
    <w:p w14:paraId="34098A78">
      <w:pPr>
        <w:pStyle w:val="2"/>
        <w:keepNext w:val="0"/>
        <w:keepLines w:val="0"/>
        <w:widowControl/>
        <w:suppressLineNumbers w:val="0"/>
        <w:spacing w:before="75" w:beforeAutospacing="0" w:after="210" w:afterAutospacing="0"/>
        <w:ind w:left="0" w:right="0"/>
      </w:pPr>
    </w:p>
    <w:p w14:paraId="35DDC92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 收入决算情况说明</w:t>
      </w:r>
    </w:p>
    <w:p w14:paraId="1D11BC78">
      <w:pPr>
        <w:pStyle w:val="2"/>
        <w:keepNext w:val="0"/>
        <w:keepLines w:val="0"/>
        <w:widowControl/>
        <w:suppressLineNumbers w:val="0"/>
        <w:spacing w:before="75" w:beforeAutospacing="0" w:after="210" w:afterAutospacing="0"/>
        <w:ind w:left="0" w:right="0"/>
      </w:pPr>
    </w:p>
    <w:p w14:paraId="4E65A62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 支出决算情况说明</w:t>
      </w:r>
    </w:p>
    <w:p w14:paraId="445D05BA">
      <w:pPr>
        <w:pStyle w:val="2"/>
        <w:keepNext w:val="0"/>
        <w:keepLines w:val="0"/>
        <w:widowControl/>
        <w:suppressLineNumbers w:val="0"/>
        <w:spacing w:before="75" w:beforeAutospacing="0" w:after="210" w:afterAutospacing="0"/>
        <w:ind w:left="0" w:right="0"/>
      </w:pPr>
    </w:p>
    <w:p w14:paraId="3590C14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四、财政拨款收入支出决算总体情况说明</w:t>
      </w:r>
    </w:p>
    <w:p w14:paraId="7A219271">
      <w:pPr>
        <w:pStyle w:val="2"/>
        <w:keepNext w:val="0"/>
        <w:keepLines w:val="0"/>
        <w:widowControl/>
        <w:suppressLineNumbers w:val="0"/>
        <w:spacing w:before="75" w:beforeAutospacing="0" w:after="210" w:afterAutospacing="0"/>
        <w:ind w:left="0" w:right="0"/>
      </w:pPr>
    </w:p>
    <w:p w14:paraId="7479D6D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五、一般公共预算财政拨款支出决算情况说明</w:t>
      </w:r>
    </w:p>
    <w:p w14:paraId="3D76EA37">
      <w:pPr>
        <w:pStyle w:val="2"/>
        <w:keepNext w:val="0"/>
        <w:keepLines w:val="0"/>
        <w:widowControl/>
        <w:suppressLineNumbers w:val="0"/>
        <w:spacing w:before="75" w:beforeAutospacing="0" w:after="210" w:afterAutospacing="0"/>
        <w:ind w:left="0" w:right="0"/>
      </w:pPr>
    </w:p>
    <w:p w14:paraId="6CB8DFD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六、一般公共预算财政拨款基本支出决算情况说明</w:t>
      </w:r>
    </w:p>
    <w:p w14:paraId="01458786">
      <w:pPr>
        <w:pStyle w:val="2"/>
        <w:keepNext w:val="0"/>
        <w:keepLines w:val="0"/>
        <w:widowControl/>
        <w:suppressLineNumbers w:val="0"/>
        <w:spacing w:before="75" w:beforeAutospacing="0" w:after="210" w:afterAutospacing="0"/>
        <w:ind w:left="0" w:right="0"/>
      </w:pPr>
    </w:p>
    <w:p w14:paraId="65CD8C1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七、“三公”经费财政拨款支出决算情况说明</w:t>
      </w:r>
    </w:p>
    <w:p w14:paraId="0AE455FB">
      <w:pPr>
        <w:pStyle w:val="2"/>
        <w:keepNext w:val="0"/>
        <w:keepLines w:val="0"/>
        <w:widowControl/>
        <w:suppressLineNumbers w:val="0"/>
        <w:spacing w:before="75" w:beforeAutospacing="0" w:after="210" w:afterAutospacing="0"/>
        <w:ind w:left="0" w:right="0"/>
      </w:pPr>
    </w:p>
    <w:p w14:paraId="36D11F8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八、政府性基金预算支出决算情况说明</w:t>
      </w:r>
    </w:p>
    <w:p w14:paraId="3BC90D81">
      <w:pPr>
        <w:pStyle w:val="2"/>
        <w:keepNext w:val="0"/>
        <w:keepLines w:val="0"/>
        <w:widowControl/>
        <w:suppressLineNumbers w:val="0"/>
        <w:spacing w:before="75" w:beforeAutospacing="0" w:after="210" w:afterAutospacing="0"/>
        <w:ind w:left="0" w:right="0"/>
      </w:pPr>
    </w:p>
    <w:p w14:paraId="09818EC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九、 国有资本经营预算支出决算情况说明</w:t>
      </w:r>
    </w:p>
    <w:p w14:paraId="3B34F220">
      <w:pPr>
        <w:pStyle w:val="2"/>
        <w:keepNext w:val="0"/>
        <w:keepLines w:val="0"/>
        <w:widowControl/>
        <w:suppressLineNumbers w:val="0"/>
        <w:spacing w:before="75" w:beforeAutospacing="0" w:after="210" w:afterAutospacing="0"/>
        <w:ind w:left="0" w:right="0"/>
      </w:pPr>
    </w:p>
    <w:p w14:paraId="4016C49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十、其他重要事项的情况说明</w:t>
      </w:r>
    </w:p>
    <w:p w14:paraId="4F9B4574">
      <w:pPr>
        <w:pStyle w:val="2"/>
        <w:keepNext w:val="0"/>
        <w:keepLines w:val="0"/>
        <w:widowControl/>
        <w:suppressLineNumbers w:val="0"/>
        <w:spacing w:before="75" w:beforeAutospacing="0" w:after="210" w:afterAutospacing="0"/>
        <w:ind w:left="0" w:right="0"/>
      </w:pPr>
    </w:p>
    <w:p w14:paraId="7F710E6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第三部分 名词解释</w:t>
      </w:r>
    </w:p>
    <w:p w14:paraId="43A61C71">
      <w:pPr>
        <w:pStyle w:val="2"/>
        <w:keepNext w:val="0"/>
        <w:keepLines w:val="0"/>
        <w:widowControl/>
        <w:suppressLineNumbers w:val="0"/>
        <w:spacing w:before="75" w:beforeAutospacing="0" w:after="210" w:afterAutospacing="0"/>
        <w:ind w:left="0" w:right="0"/>
      </w:pPr>
    </w:p>
    <w:p w14:paraId="5EA5730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第四部分 附件</w:t>
      </w:r>
    </w:p>
    <w:p w14:paraId="7458D0EC">
      <w:pPr>
        <w:pStyle w:val="2"/>
        <w:keepNext w:val="0"/>
        <w:keepLines w:val="0"/>
        <w:widowControl/>
        <w:suppressLineNumbers w:val="0"/>
        <w:spacing w:before="75" w:beforeAutospacing="0" w:after="210" w:afterAutospacing="0"/>
        <w:ind w:left="0" w:right="0"/>
      </w:pPr>
    </w:p>
    <w:p w14:paraId="60C0BA8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附件1</w:t>
      </w:r>
    </w:p>
    <w:p w14:paraId="0162BFB9">
      <w:pPr>
        <w:pStyle w:val="2"/>
        <w:keepNext w:val="0"/>
        <w:keepLines w:val="0"/>
        <w:widowControl/>
        <w:suppressLineNumbers w:val="0"/>
        <w:spacing w:before="75" w:beforeAutospacing="0" w:after="210" w:afterAutospacing="0"/>
        <w:ind w:left="0" w:right="0"/>
      </w:pPr>
    </w:p>
    <w:p w14:paraId="55A40D2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第五部分 附表</w:t>
      </w:r>
    </w:p>
    <w:p w14:paraId="2678E09C">
      <w:pPr>
        <w:pStyle w:val="2"/>
        <w:keepNext w:val="0"/>
        <w:keepLines w:val="0"/>
        <w:widowControl/>
        <w:suppressLineNumbers w:val="0"/>
        <w:spacing w:before="75" w:beforeAutospacing="0" w:after="210" w:afterAutospacing="0"/>
        <w:ind w:left="0" w:right="0"/>
      </w:pPr>
    </w:p>
    <w:p w14:paraId="433EE2B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一、收入支出决算总表</w:t>
      </w:r>
    </w:p>
    <w:p w14:paraId="3B6A310E">
      <w:pPr>
        <w:pStyle w:val="2"/>
        <w:keepNext w:val="0"/>
        <w:keepLines w:val="0"/>
        <w:widowControl/>
        <w:suppressLineNumbers w:val="0"/>
        <w:spacing w:before="75" w:beforeAutospacing="0" w:after="210" w:afterAutospacing="0"/>
        <w:ind w:left="0" w:right="0"/>
      </w:pPr>
    </w:p>
    <w:p w14:paraId="0C5FB98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二、收入决算表</w:t>
      </w:r>
    </w:p>
    <w:p w14:paraId="2E59AEF7">
      <w:pPr>
        <w:pStyle w:val="2"/>
        <w:keepNext w:val="0"/>
        <w:keepLines w:val="0"/>
        <w:widowControl/>
        <w:suppressLineNumbers w:val="0"/>
        <w:spacing w:before="75" w:beforeAutospacing="0" w:after="210" w:afterAutospacing="0"/>
        <w:ind w:left="0" w:right="0"/>
      </w:pPr>
    </w:p>
    <w:p w14:paraId="4B6D754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三、支出决算表</w:t>
      </w:r>
    </w:p>
    <w:p w14:paraId="5CB3CC0D">
      <w:pPr>
        <w:pStyle w:val="2"/>
        <w:keepNext w:val="0"/>
        <w:keepLines w:val="0"/>
        <w:widowControl/>
        <w:suppressLineNumbers w:val="0"/>
        <w:spacing w:before="75" w:beforeAutospacing="0" w:after="210" w:afterAutospacing="0"/>
        <w:ind w:left="0" w:right="0"/>
      </w:pPr>
    </w:p>
    <w:p w14:paraId="555907D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四、财政拨款收入支出决算总表</w:t>
      </w:r>
    </w:p>
    <w:p w14:paraId="6E0C3A4C">
      <w:pPr>
        <w:pStyle w:val="2"/>
        <w:keepNext w:val="0"/>
        <w:keepLines w:val="0"/>
        <w:widowControl/>
        <w:suppressLineNumbers w:val="0"/>
        <w:spacing w:before="75" w:beforeAutospacing="0" w:after="210" w:afterAutospacing="0"/>
        <w:ind w:left="0" w:right="0"/>
      </w:pPr>
    </w:p>
    <w:p w14:paraId="72D8B5E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五、财政拨款支出决算明细表</w:t>
      </w:r>
    </w:p>
    <w:p w14:paraId="2BE191C0">
      <w:pPr>
        <w:pStyle w:val="2"/>
        <w:keepNext w:val="0"/>
        <w:keepLines w:val="0"/>
        <w:widowControl/>
        <w:suppressLineNumbers w:val="0"/>
        <w:spacing w:before="75" w:beforeAutospacing="0" w:after="210" w:afterAutospacing="0"/>
        <w:ind w:left="0" w:right="0"/>
      </w:pPr>
    </w:p>
    <w:p w14:paraId="6B61E4E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六、一般公共预算财政拨款支出决算表</w:t>
      </w:r>
    </w:p>
    <w:p w14:paraId="26F16528">
      <w:pPr>
        <w:pStyle w:val="2"/>
        <w:keepNext w:val="0"/>
        <w:keepLines w:val="0"/>
        <w:widowControl/>
        <w:suppressLineNumbers w:val="0"/>
        <w:spacing w:before="75" w:beforeAutospacing="0" w:after="210" w:afterAutospacing="0"/>
        <w:ind w:left="0" w:right="0"/>
      </w:pPr>
    </w:p>
    <w:p w14:paraId="77B9516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七、一般公共预算财政拨款支出决算明细表</w:t>
      </w:r>
    </w:p>
    <w:p w14:paraId="7C35866B">
      <w:pPr>
        <w:pStyle w:val="2"/>
        <w:keepNext w:val="0"/>
        <w:keepLines w:val="0"/>
        <w:widowControl/>
        <w:suppressLineNumbers w:val="0"/>
        <w:spacing w:before="75" w:beforeAutospacing="0" w:after="210" w:afterAutospacing="0"/>
        <w:ind w:left="0" w:right="0"/>
      </w:pPr>
    </w:p>
    <w:p w14:paraId="55F38B8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八、一般公共预算财政拨款基本支出决算表</w:t>
      </w:r>
    </w:p>
    <w:p w14:paraId="1C77E129">
      <w:pPr>
        <w:pStyle w:val="2"/>
        <w:keepNext w:val="0"/>
        <w:keepLines w:val="0"/>
        <w:widowControl/>
        <w:suppressLineNumbers w:val="0"/>
        <w:spacing w:before="75" w:beforeAutospacing="0" w:after="210" w:afterAutospacing="0"/>
        <w:ind w:left="0" w:right="0"/>
      </w:pPr>
    </w:p>
    <w:p w14:paraId="20BE629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九、一般公共预算财政拨款项目支出决算表</w:t>
      </w:r>
    </w:p>
    <w:p w14:paraId="249BE63D">
      <w:pPr>
        <w:pStyle w:val="2"/>
        <w:keepNext w:val="0"/>
        <w:keepLines w:val="0"/>
        <w:widowControl/>
        <w:suppressLineNumbers w:val="0"/>
        <w:spacing w:before="75" w:beforeAutospacing="0" w:after="210" w:afterAutospacing="0"/>
        <w:ind w:left="0" w:right="0"/>
      </w:pPr>
    </w:p>
    <w:p w14:paraId="612399F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十、一般公共预算财政拨款“三公”经费支出决算表</w:t>
      </w:r>
    </w:p>
    <w:p w14:paraId="70C60AB7">
      <w:pPr>
        <w:pStyle w:val="2"/>
        <w:keepNext w:val="0"/>
        <w:keepLines w:val="0"/>
        <w:widowControl/>
        <w:suppressLineNumbers w:val="0"/>
        <w:spacing w:before="75" w:beforeAutospacing="0" w:after="210" w:afterAutospacing="0"/>
        <w:ind w:left="0" w:right="0"/>
      </w:pPr>
    </w:p>
    <w:p w14:paraId="5565C0E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十一、政府性基金预算财政拨款收入支出决算表</w:t>
      </w:r>
    </w:p>
    <w:p w14:paraId="53ED832B">
      <w:pPr>
        <w:pStyle w:val="2"/>
        <w:keepNext w:val="0"/>
        <w:keepLines w:val="0"/>
        <w:widowControl/>
        <w:suppressLineNumbers w:val="0"/>
        <w:spacing w:before="75" w:beforeAutospacing="0" w:after="210" w:afterAutospacing="0"/>
        <w:ind w:left="0" w:right="0"/>
      </w:pPr>
    </w:p>
    <w:p w14:paraId="3A04E66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十二、政府性基金预算财政拨款“三公”经费支出决算表</w:t>
      </w:r>
    </w:p>
    <w:p w14:paraId="33585E3C">
      <w:pPr>
        <w:pStyle w:val="2"/>
        <w:keepNext w:val="0"/>
        <w:keepLines w:val="0"/>
        <w:widowControl/>
        <w:suppressLineNumbers w:val="0"/>
        <w:spacing w:before="75" w:beforeAutospacing="0" w:after="210" w:afterAutospacing="0"/>
        <w:ind w:left="0" w:right="0"/>
      </w:pPr>
    </w:p>
    <w:p w14:paraId="420AA41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十三、国有资本经营预算财政拨款收入支出决算表</w:t>
      </w:r>
    </w:p>
    <w:p w14:paraId="7BF714DB">
      <w:pPr>
        <w:pStyle w:val="2"/>
        <w:keepNext w:val="0"/>
        <w:keepLines w:val="0"/>
        <w:widowControl/>
        <w:suppressLineNumbers w:val="0"/>
        <w:spacing w:before="75" w:beforeAutospacing="0" w:after="210" w:afterAutospacing="0"/>
        <w:ind w:left="0" w:right="0"/>
      </w:pPr>
    </w:p>
    <w:p w14:paraId="03E8138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十四、国有资本经营预算财政拨款支出决算表</w:t>
      </w:r>
    </w:p>
    <w:p w14:paraId="6059A7D9">
      <w:pPr>
        <w:pStyle w:val="2"/>
        <w:keepNext w:val="0"/>
        <w:keepLines w:val="0"/>
        <w:widowControl/>
        <w:suppressLineNumbers w:val="0"/>
        <w:spacing w:before="75" w:beforeAutospacing="0" w:after="210" w:afterAutospacing="0"/>
        <w:ind w:left="0" w:right="0"/>
      </w:pPr>
    </w:p>
    <w:p w14:paraId="57A9D23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第一部分 部门概况</w:t>
      </w:r>
    </w:p>
    <w:p w14:paraId="63A90FEF">
      <w:pPr>
        <w:pStyle w:val="2"/>
        <w:keepNext w:val="0"/>
        <w:keepLines w:val="0"/>
        <w:widowControl/>
        <w:suppressLineNumbers w:val="0"/>
        <w:spacing w:before="75" w:beforeAutospacing="0" w:after="210" w:afterAutospacing="0"/>
        <w:ind w:left="0" w:right="0"/>
      </w:pPr>
    </w:p>
    <w:p w14:paraId="20E70B9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一、基本职能及主要工作</w:t>
      </w:r>
    </w:p>
    <w:p w14:paraId="0593509E">
      <w:pPr>
        <w:pStyle w:val="2"/>
        <w:keepNext w:val="0"/>
        <w:keepLines w:val="0"/>
        <w:widowControl/>
        <w:suppressLineNumbers w:val="0"/>
        <w:spacing w:before="75" w:beforeAutospacing="0" w:after="210" w:afterAutospacing="0"/>
        <w:ind w:left="0" w:right="0"/>
      </w:pPr>
    </w:p>
    <w:p w14:paraId="05B75BB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 主要职能。</w:t>
      </w:r>
    </w:p>
    <w:p w14:paraId="4D48EF69">
      <w:pPr>
        <w:pStyle w:val="2"/>
        <w:keepNext w:val="0"/>
        <w:keepLines w:val="0"/>
        <w:widowControl/>
        <w:suppressLineNumbers w:val="0"/>
        <w:spacing w:before="75" w:beforeAutospacing="0" w:after="210" w:afterAutospacing="0"/>
        <w:ind w:left="0" w:right="0"/>
      </w:pPr>
    </w:p>
    <w:p w14:paraId="141B8F0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１.贯彻落实公共资源交易服务活动的有关法律、法规和政策，为我区公共资源交易活动提供场所、设施和服务。</w:t>
      </w:r>
    </w:p>
    <w:p w14:paraId="38BD6F09">
      <w:pPr>
        <w:pStyle w:val="2"/>
        <w:keepNext w:val="0"/>
        <w:keepLines w:val="0"/>
        <w:widowControl/>
        <w:suppressLineNumbers w:val="0"/>
        <w:spacing w:before="75" w:beforeAutospacing="0" w:after="210" w:afterAutospacing="0"/>
        <w:ind w:left="0" w:right="0"/>
      </w:pPr>
    </w:p>
    <w:p w14:paraId="3DA6A6B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２.制定公共资源交易现场管理规章制度、工作流程并组织实施。</w:t>
      </w:r>
    </w:p>
    <w:p w14:paraId="581E221E">
      <w:pPr>
        <w:pStyle w:val="2"/>
        <w:keepNext w:val="0"/>
        <w:keepLines w:val="0"/>
        <w:widowControl/>
        <w:suppressLineNumbers w:val="0"/>
        <w:spacing w:before="75" w:beforeAutospacing="0" w:after="210" w:afterAutospacing="0"/>
        <w:ind w:left="0" w:right="0"/>
      </w:pPr>
    </w:p>
    <w:p w14:paraId="7674B27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３.承担区公共资源信息平台及电子交易平台建设和管理；按照有关规定统一发布公共资源交易信息，为交易各方提供交易咨询等服务。</w:t>
      </w:r>
    </w:p>
    <w:p w14:paraId="1DD585A1">
      <w:pPr>
        <w:pStyle w:val="2"/>
        <w:keepNext w:val="0"/>
        <w:keepLines w:val="0"/>
        <w:widowControl/>
        <w:suppressLineNumbers w:val="0"/>
        <w:spacing w:before="75" w:beforeAutospacing="0" w:after="210" w:afterAutospacing="0"/>
        <w:ind w:left="0" w:right="0"/>
      </w:pPr>
    </w:p>
    <w:p w14:paraId="292D659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４.对全区进入区公共资源交易平台运作的建设工程招投标、政府采购、土地和矿产资源、国有产权和国有资产交易以及特殊资源、特许经营权出（转）让等公共资源交易提供现场服务。</w:t>
      </w:r>
    </w:p>
    <w:p w14:paraId="52D6C03B">
      <w:pPr>
        <w:pStyle w:val="2"/>
        <w:keepNext w:val="0"/>
        <w:keepLines w:val="0"/>
        <w:widowControl/>
        <w:suppressLineNumbers w:val="0"/>
        <w:spacing w:before="75" w:beforeAutospacing="0" w:after="210" w:afterAutospacing="0"/>
        <w:ind w:left="0" w:right="0"/>
      </w:pPr>
    </w:p>
    <w:p w14:paraId="6A815C2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５.核查进场交易项目相关手续和参与交易活动各方主体资格。</w:t>
      </w:r>
    </w:p>
    <w:p w14:paraId="61E12743">
      <w:pPr>
        <w:pStyle w:val="2"/>
        <w:keepNext w:val="0"/>
        <w:keepLines w:val="0"/>
        <w:widowControl/>
        <w:suppressLineNumbers w:val="0"/>
        <w:spacing w:before="75" w:beforeAutospacing="0" w:after="210" w:afterAutospacing="0"/>
        <w:ind w:left="0" w:right="0"/>
      </w:pPr>
    </w:p>
    <w:p w14:paraId="783A66B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６.负责对进入区公共资源交易平台的交易各方进行现场监管，记录、制止和纠正违反交易现场管理制度的行为。</w:t>
      </w:r>
    </w:p>
    <w:p w14:paraId="5E00371B">
      <w:pPr>
        <w:pStyle w:val="2"/>
        <w:keepNext w:val="0"/>
        <w:keepLines w:val="0"/>
        <w:widowControl/>
        <w:suppressLineNumbers w:val="0"/>
        <w:spacing w:before="75" w:beforeAutospacing="0" w:after="210" w:afterAutospacing="0"/>
        <w:ind w:left="0" w:right="0"/>
      </w:pPr>
    </w:p>
    <w:p w14:paraId="6D51734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７.承担区委、区政府及区招监委安排的其它工作。</w:t>
      </w:r>
    </w:p>
    <w:p w14:paraId="00EF0C95">
      <w:pPr>
        <w:pStyle w:val="2"/>
        <w:keepNext w:val="0"/>
        <w:keepLines w:val="0"/>
        <w:widowControl/>
        <w:suppressLineNumbers w:val="0"/>
        <w:spacing w:before="75" w:beforeAutospacing="0" w:after="210" w:afterAutospacing="0"/>
        <w:ind w:left="0" w:right="0"/>
      </w:pPr>
    </w:p>
    <w:p w14:paraId="375A767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（二）2020年重点工作完成情况。</w:t>
      </w:r>
    </w:p>
    <w:p w14:paraId="143934CE">
      <w:pPr>
        <w:pStyle w:val="2"/>
        <w:keepNext w:val="0"/>
        <w:keepLines w:val="0"/>
        <w:widowControl/>
        <w:suppressLineNumbers w:val="0"/>
        <w:spacing w:before="75" w:beforeAutospacing="0" w:after="210" w:afterAutospacing="0"/>
        <w:ind w:left="0" w:right="0"/>
      </w:pPr>
    </w:p>
    <w:p w14:paraId="235F0DE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区公共资源交易服务中心在区委区政府的坚强领导下，牢牢把握正确的政治方向，工作思路以“廉洁、大局、服务”为主题，加强内部管理，完善平台建设，在新的形势下取得了新的成效。现将中心工作总结如下：</w:t>
      </w:r>
    </w:p>
    <w:p w14:paraId="7FFB6069">
      <w:pPr>
        <w:pStyle w:val="2"/>
        <w:keepNext w:val="0"/>
        <w:keepLines w:val="0"/>
        <w:widowControl/>
        <w:suppressLineNumbers w:val="0"/>
        <w:spacing w:before="75" w:beforeAutospacing="0" w:after="210" w:afterAutospacing="0"/>
        <w:ind w:left="0" w:right="0"/>
      </w:pPr>
    </w:p>
    <w:p w14:paraId="4A980C8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1.提高政治站位，贯彻落实意识形态责任制</w:t>
      </w:r>
    </w:p>
    <w:p w14:paraId="5ABB99BC">
      <w:pPr>
        <w:pStyle w:val="2"/>
        <w:keepNext w:val="0"/>
        <w:keepLines w:val="0"/>
        <w:widowControl/>
        <w:suppressLineNumbers w:val="0"/>
        <w:spacing w:before="75" w:beforeAutospacing="0" w:after="210" w:afterAutospacing="0"/>
        <w:ind w:left="0" w:right="0"/>
      </w:pPr>
    </w:p>
    <w:p w14:paraId="1B2D69A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中心坚持以党的十九大精神、习近平新时代中国特色社会主义思想为指导，始终把意识形态工作摆在重要位置，发挥思想引领、舆论推动、精神激励的重要作用。一是强化组织领导。认真实行一把手负总责、班子成员各负其责，做到意识形态工作与业务工作同部署、同落实、同检查，定期分析研判意识形态领域情况，辨析思想文化领域突出问题。二是狠抓学习教育。将意识形态工作纳入中心学习的重要内容，通过上党课、警示教育、常态化开展“学习强国”网上学习等方式，及时传达学习党中央和上级党组织关于意识形态工作的决策部署及指示精神，加强干部思想建设，为业务工作提供理论保障。三是坚持正确舆论导向。及时公开本单位重大决策、重要人事任免、财务预决算等党务政务公开信息，及时做好重要节点和敏感时期的舆论监管，对重大事件、重要情况、重要民意中的苗头倾向性的问题，有针对性地进行引导。</w:t>
      </w:r>
    </w:p>
    <w:p w14:paraId="4667E02D">
      <w:pPr>
        <w:pStyle w:val="2"/>
        <w:keepNext w:val="0"/>
        <w:keepLines w:val="0"/>
        <w:widowControl/>
        <w:suppressLineNumbers w:val="0"/>
        <w:spacing w:before="75" w:beforeAutospacing="0" w:after="210" w:afterAutospacing="0"/>
        <w:ind w:left="0" w:right="0"/>
      </w:pPr>
    </w:p>
    <w:p w14:paraId="0E7EC3A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2.采取有效举措，预防腐败防控风险</w:t>
      </w:r>
    </w:p>
    <w:p w14:paraId="7EF5D5A0">
      <w:pPr>
        <w:pStyle w:val="2"/>
        <w:keepNext w:val="0"/>
        <w:keepLines w:val="0"/>
        <w:widowControl/>
        <w:suppressLineNumbers w:val="0"/>
        <w:spacing w:before="75" w:beforeAutospacing="0" w:after="210" w:afterAutospacing="0"/>
        <w:ind w:left="0" w:right="0"/>
      </w:pPr>
    </w:p>
    <w:p w14:paraId="3CFB384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切实遵循“公平、公开、公正”原则，“廉洁”是基础，我中心积极抓好反腐败和风险防控工作，努力打造阳光交易平台。一是制度防腐：将党风廉政建设和反腐败工作作为日常干部职工教育的重要内容，并列入绩效管理考核，排查廉政风险点，有的放矢制定防控措施、堵住风险漏洞，从制度上保证反腐败取得实效。二是科技防腐：加强公共资源交易电子化平台建设，完善了开、评标室电子监控系统，实现了开评标全程监控可追溯。三是推行办事公开：利用沙湾门户网站、政府采购网、公共资源交易网站、电子显示屏、办事手册，实行办理事项公开、办理程序公开、申报材料公开、收费标准公开、承诺时限公开，增强中心工作透明度。四是设立党风廉政建设意见收集箱,及时收集并整改工作中存在的问题，进一步提升服务水平。五是开展“廉洁交易测评”，面向业主单位、评审专家及投标供应商，项目属性全覆盖，内容涵盖全流程，今年共发放测评表百余份，结果反馈满意度良好。</w:t>
      </w:r>
    </w:p>
    <w:p w14:paraId="4BD8E74C">
      <w:pPr>
        <w:pStyle w:val="2"/>
        <w:keepNext w:val="0"/>
        <w:keepLines w:val="0"/>
        <w:widowControl/>
        <w:suppressLineNumbers w:val="0"/>
        <w:spacing w:before="75" w:beforeAutospacing="0" w:after="210" w:afterAutospacing="0"/>
        <w:ind w:left="0" w:right="0"/>
      </w:pPr>
    </w:p>
    <w:p w14:paraId="1540464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3.把控区情大局，保障交易工作开展</w:t>
      </w:r>
    </w:p>
    <w:p w14:paraId="0C9F3F70">
      <w:pPr>
        <w:pStyle w:val="2"/>
        <w:keepNext w:val="0"/>
        <w:keepLines w:val="0"/>
        <w:widowControl/>
        <w:suppressLineNumbers w:val="0"/>
        <w:spacing w:before="75" w:beforeAutospacing="0" w:after="210" w:afterAutospacing="0"/>
        <w:ind w:left="0" w:right="0"/>
      </w:pPr>
    </w:p>
    <w:p w14:paraId="44BC562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（1）抓实疫情防控，确保交易安全</w:t>
      </w:r>
    </w:p>
    <w:p w14:paraId="4BD67180">
      <w:pPr>
        <w:pStyle w:val="2"/>
        <w:keepNext w:val="0"/>
        <w:keepLines w:val="0"/>
        <w:widowControl/>
        <w:suppressLineNumbers w:val="0"/>
        <w:spacing w:before="75" w:beforeAutospacing="0" w:after="210" w:afterAutospacing="0"/>
        <w:ind w:left="0" w:right="0"/>
      </w:pPr>
    </w:p>
    <w:p w14:paraId="062B99D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统筹推进疫情期间公共资源交易服务工作。一是在做好疫情防控的前提下对交易活动分类施策，第一时间保障了涉及城市运行必需、疫情防控必需、重要国计民生以及企业生产经营急需项目进场交易。二是通过网站及时发布公告，主动告知疫情防控期间交易活动运行规则和要求，积极宣传引导服务对象采取“网上办”、“电话办”等方式办事，最大限度减少人员聚集。三是交易场所配备消毒、防护物资，定时通风消毒，对交易现场人员进行严格的疫情排查，提前预判各种风险并制定应急预案，实施限定参与人数、错时分流开评标、人员保持间隔距离等措施，充分保障了参与交易主体在交易现场的防疫安全。</w:t>
      </w:r>
    </w:p>
    <w:p w14:paraId="50AFB440">
      <w:pPr>
        <w:pStyle w:val="2"/>
        <w:keepNext w:val="0"/>
        <w:keepLines w:val="0"/>
        <w:widowControl/>
        <w:suppressLineNumbers w:val="0"/>
        <w:spacing w:before="75" w:beforeAutospacing="0" w:after="210" w:afterAutospacing="0"/>
        <w:ind w:left="0" w:right="0"/>
      </w:pPr>
    </w:p>
    <w:p w14:paraId="4A03E67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（2）关注重大项目，助力经济发展</w:t>
      </w:r>
    </w:p>
    <w:p w14:paraId="63B20014">
      <w:pPr>
        <w:pStyle w:val="2"/>
        <w:keepNext w:val="0"/>
        <w:keepLines w:val="0"/>
        <w:widowControl/>
        <w:suppressLineNumbers w:val="0"/>
        <w:spacing w:before="75" w:beforeAutospacing="0" w:after="210" w:afterAutospacing="0"/>
        <w:ind w:left="0" w:right="0"/>
      </w:pPr>
    </w:p>
    <w:p w14:paraId="5F0BD6C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中心紧紧围绕区委区政府工作，主动融入和服务重大项目建设，积极配合相关部门，扎实推进我区重点项目建设工作。今年公共资源交易情况如下：</w:t>
      </w:r>
    </w:p>
    <w:p w14:paraId="31D62BC3">
      <w:pPr>
        <w:pStyle w:val="2"/>
        <w:keepNext w:val="0"/>
        <w:keepLines w:val="0"/>
        <w:widowControl/>
        <w:suppressLineNumbers w:val="0"/>
        <w:spacing w:before="75" w:beforeAutospacing="0" w:after="210" w:afterAutospacing="0"/>
        <w:ind w:left="0" w:right="0"/>
      </w:pPr>
    </w:p>
    <w:p w14:paraId="543B657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①.政府采购</w:t>
      </w:r>
    </w:p>
    <w:p w14:paraId="129F6B70">
      <w:pPr>
        <w:pStyle w:val="2"/>
        <w:keepNext w:val="0"/>
        <w:keepLines w:val="0"/>
        <w:widowControl/>
        <w:suppressLineNumbers w:val="0"/>
        <w:spacing w:before="75" w:beforeAutospacing="0" w:after="210" w:afterAutospacing="0"/>
        <w:ind w:left="0" w:right="0"/>
      </w:pPr>
    </w:p>
    <w:p w14:paraId="11044BF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政府采购电子化平台项目92宗，预算金额442.81万元，采购金额432.43万元。货物服务类政府采购项目85宗，预算金额10291.54万元，采购金额9512.65万元，节约金额778.89万元，节约率7.57%。工程类政府采购项目24宗，预算金额2425.55元，采购金额2273.57万元，节约金额151.98万元，节约率6.27%。涉密政府采购项目3宗，预算金额276.5万元，采购金额262.72万元，节约金额13.78万元，节约率4.98%。</w:t>
      </w:r>
    </w:p>
    <w:p w14:paraId="696BF914">
      <w:pPr>
        <w:pStyle w:val="2"/>
        <w:keepNext w:val="0"/>
        <w:keepLines w:val="0"/>
        <w:widowControl/>
        <w:suppressLineNumbers w:val="0"/>
        <w:spacing w:before="75" w:beforeAutospacing="0" w:after="210" w:afterAutospacing="0"/>
        <w:ind w:left="0" w:right="0"/>
      </w:pPr>
    </w:p>
    <w:p w14:paraId="4CF298D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②.国有企业采购</w:t>
      </w:r>
    </w:p>
    <w:p w14:paraId="3C591E7A">
      <w:pPr>
        <w:pStyle w:val="2"/>
        <w:keepNext w:val="0"/>
        <w:keepLines w:val="0"/>
        <w:widowControl/>
        <w:suppressLineNumbers w:val="0"/>
        <w:spacing w:before="75" w:beforeAutospacing="0" w:after="210" w:afterAutospacing="0"/>
        <w:ind w:left="0" w:right="0"/>
      </w:pPr>
    </w:p>
    <w:p w14:paraId="442C1CC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完成国有企业采购项目13宗，预算金额2306.73万元，采购金额2231.88万元，节约金额74.85万元，节约率3.24%。</w:t>
      </w:r>
    </w:p>
    <w:p w14:paraId="16968DD2">
      <w:pPr>
        <w:pStyle w:val="2"/>
        <w:keepNext w:val="0"/>
        <w:keepLines w:val="0"/>
        <w:widowControl/>
        <w:suppressLineNumbers w:val="0"/>
        <w:spacing w:before="75" w:beforeAutospacing="0" w:after="210" w:afterAutospacing="0"/>
        <w:ind w:left="0" w:right="0"/>
      </w:pPr>
    </w:p>
    <w:p w14:paraId="51A9B31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③.国资土地产权</w:t>
      </w:r>
    </w:p>
    <w:p w14:paraId="18AACA5E">
      <w:pPr>
        <w:pStyle w:val="2"/>
        <w:keepNext w:val="0"/>
        <w:keepLines w:val="0"/>
        <w:widowControl/>
        <w:suppressLineNumbers w:val="0"/>
        <w:spacing w:before="75" w:beforeAutospacing="0" w:after="210" w:afterAutospacing="0"/>
        <w:ind w:left="0" w:right="0"/>
      </w:pPr>
    </w:p>
    <w:p w14:paraId="56AA62C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组织实施国有资产拍卖3宗，起拍价共计319.15万元，成交金额共计541.65万元，溢价222.5万元，溢价率69.72%。</w:t>
      </w:r>
    </w:p>
    <w:p w14:paraId="5D95BAB1">
      <w:pPr>
        <w:pStyle w:val="2"/>
        <w:keepNext w:val="0"/>
        <w:keepLines w:val="0"/>
        <w:widowControl/>
        <w:suppressLineNumbers w:val="0"/>
        <w:spacing w:before="75" w:beforeAutospacing="0" w:after="210" w:afterAutospacing="0"/>
        <w:ind w:left="0" w:right="0"/>
      </w:pPr>
    </w:p>
    <w:p w14:paraId="12E2487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4.服务各方主体，提升平台服务能力</w:t>
      </w:r>
    </w:p>
    <w:p w14:paraId="7465ABF8">
      <w:pPr>
        <w:pStyle w:val="2"/>
        <w:keepNext w:val="0"/>
        <w:keepLines w:val="0"/>
        <w:widowControl/>
        <w:suppressLineNumbers w:val="0"/>
        <w:spacing w:before="75" w:beforeAutospacing="0" w:after="210" w:afterAutospacing="0"/>
        <w:ind w:left="0" w:right="0"/>
      </w:pPr>
    </w:p>
    <w:p w14:paraId="642AF7D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（1）深化“放管服”，优化交易营商环境</w:t>
      </w:r>
    </w:p>
    <w:p w14:paraId="4BAA8DB2">
      <w:pPr>
        <w:pStyle w:val="2"/>
        <w:keepNext w:val="0"/>
        <w:keepLines w:val="0"/>
        <w:widowControl/>
        <w:suppressLineNumbers w:val="0"/>
        <w:spacing w:before="75" w:beforeAutospacing="0" w:after="210" w:afterAutospacing="0"/>
        <w:ind w:left="0" w:right="0"/>
      </w:pPr>
    </w:p>
    <w:p w14:paraId="2BB9161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是开通电子化卖场。对通用类办公设备、电器设备、家具用具以及公务车辆限额内实现“淘宝采购”和竞价采购，并不断根据实际情况提高限额标准，最大力度放权于采购人和供应商，极大的提高了产品质量、缩短了交易周期。二是降低制度性交易成本。陆续取消收取场地费、报名费、投标保证金，建议采购单位少收取或不收取履约保证金。截</w:t>
      </w:r>
      <w:r>
        <w:rPr>
          <w:rFonts w:hint="eastAsia" w:ascii="宋体" w:hAnsi="宋体" w:eastAsia="宋体" w:cs="宋体"/>
          <w:sz w:val="28"/>
          <w:szCs w:val="28"/>
          <w:lang w:val="en-US" w:eastAsia="zh-CN"/>
        </w:rPr>
        <w:t>至</w:t>
      </w:r>
      <w:r>
        <w:rPr>
          <w:rFonts w:hint="eastAsia" w:ascii="宋体" w:hAnsi="宋体" w:eastAsia="宋体" w:cs="宋体"/>
          <w:sz w:val="28"/>
          <w:szCs w:val="28"/>
        </w:rPr>
        <w:t>目前，减少收取履约保证金约137.86万元，取消收取投标保证金约675.07万元，取消收取报名费约47.88万元。三是力争“少跑路”。梳理业主单位办事清单及采购流程图，开通公共资源交易QQ群，及时上传各类文件模板，让业主单位少跑路；积极推进全流程电子化，实现网上报名和收退保证金，让投标公司少跑路。四是制定政府采购“负面清单”。根据交叉检查结果、专家论证结果、社会监督结果，搜集、梳理、印制“采购负面清单”，充分运用于文件编制、专家评审、履约验收等环节，全力保障“公开、公平、公正”原则。</w:t>
      </w:r>
    </w:p>
    <w:p w14:paraId="47ABF293">
      <w:pPr>
        <w:pStyle w:val="2"/>
        <w:keepNext w:val="0"/>
        <w:keepLines w:val="0"/>
        <w:widowControl/>
        <w:suppressLineNumbers w:val="0"/>
        <w:spacing w:before="75" w:beforeAutospacing="0" w:after="210" w:afterAutospacing="0"/>
        <w:ind w:left="0" w:right="0"/>
      </w:pPr>
    </w:p>
    <w:p w14:paraId="43CCB73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（2）拓展服务功能，提升服务水平</w:t>
      </w:r>
    </w:p>
    <w:p w14:paraId="7AF07DBA">
      <w:pPr>
        <w:pStyle w:val="2"/>
        <w:keepNext w:val="0"/>
        <w:keepLines w:val="0"/>
        <w:widowControl/>
        <w:suppressLineNumbers w:val="0"/>
        <w:spacing w:before="75" w:beforeAutospacing="0" w:after="210" w:afterAutospacing="0"/>
        <w:ind w:left="0" w:right="0"/>
      </w:pPr>
    </w:p>
    <w:p w14:paraId="04A189C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中心在做好本职工作的同时，充分利用公共资源交易平台优势，立足采购人需求，不断拓展交易服务范围，为采购人提供更加便捷高效的服务。一是需求论证服务。在实施采购项目前期，组织采购人代表及业内专家，对需求制定、技术参数和评分标准等方面的合理性、公允性进行审核论证，保障了采购需求的规范，有效规避了采购风险，提高了采购效率。今年开展需求论证项目55宗，预算金额6655.13万元。二是受理分散采购项目。集中采购机构目录以外、达到分散采购限额标准的政府采购项目，中心可接受委托按规范程序执行采购流程。今年受理分散采购项目58宗。三是国有企业采购服务。中心协助区财政局制定印发了《区属国有企业采购管理工作指引》，对单项或者批量采购预算在20万以上的项目，接受委托实施采购，大大规范了区属国有企业的采购工作。今年受理国有企业采购项目12宗。四是专业化见证服务。中心积极为采购限额标准以下或者法律法规规定可由采购人自行组织的采购项目，提供信息发布、专家抽取、评审场地、现场录音录像等见证服务，解决了采购人缺乏专业的设施设备和服务的难题。今年提供专业化见证服务5次。五是场地预约借用。异地或没有规范场地的项目，业主单位或代理机构可通过提前预约，借用中心场地和配套设施实施开评标活动，为交易各方提供了极大的便利。今年提供场地借用服务10次。</w:t>
      </w:r>
    </w:p>
    <w:p w14:paraId="216DDE6B">
      <w:pPr>
        <w:pStyle w:val="2"/>
        <w:keepNext w:val="0"/>
        <w:keepLines w:val="0"/>
        <w:widowControl/>
        <w:suppressLineNumbers w:val="0"/>
        <w:spacing w:before="75" w:beforeAutospacing="0" w:after="210" w:afterAutospacing="0"/>
        <w:ind w:left="0" w:right="0"/>
      </w:pPr>
    </w:p>
    <w:p w14:paraId="33C5A10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二、机构设置</w:t>
      </w:r>
    </w:p>
    <w:p w14:paraId="1DBDE12B">
      <w:pPr>
        <w:pStyle w:val="2"/>
        <w:keepNext w:val="0"/>
        <w:keepLines w:val="0"/>
        <w:widowControl/>
        <w:suppressLineNumbers w:val="0"/>
        <w:spacing w:before="75" w:beforeAutospacing="0" w:after="210" w:afterAutospacing="0"/>
        <w:ind w:left="0" w:right="0"/>
      </w:pPr>
    </w:p>
    <w:p w14:paraId="0DB9DA7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四川省乐山市沙湾区公共资源交易服务中心（本级）下属二级单位0个，其中行政单位0个，参照公务员法管理的事业单位0个，其他事业单位0个。年末实有人数10人，其中：行政人员0人,非参公事业人员10人。</w:t>
      </w:r>
    </w:p>
    <w:p w14:paraId="2EBE4F60">
      <w:pPr>
        <w:pStyle w:val="2"/>
        <w:keepNext w:val="0"/>
        <w:keepLines w:val="0"/>
        <w:widowControl/>
        <w:suppressLineNumbers w:val="0"/>
        <w:spacing w:before="75" w:beforeAutospacing="0" w:after="210" w:afterAutospacing="0"/>
        <w:ind w:left="0" w:right="0"/>
      </w:pPr>
    </w:p>
    <w:p w14:paraId="768E497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第二部分 2020年度部门决算情况说明</w:t>
      </w:r>
    </w:p>
    <w:p w14:paraId="02BA3E40">
      <w:pPr>
        <w:pStyle w:val="2"/>
        <w:keepNext w:val="0"/>
        <w:keepLines w:val="0"/>
        <w:widowControl/>
        <w:suppressLineNumbers w:val="0"/>
        <w:spacing w:before="75" w:beforeAutospacing="0" w:after="210" w:afterAutospacing="0"/>
        <w:ind w:left="0" w:right="0"/>
      </w:pPr>
    </w:p>
    <w:p w14:paraId="68718C5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一、收入支出决算总体情况说明</w:t>
      </w:r>
    </w:p>
    <w:p w14:paraId="3B0692C8">
      <w:pPr>
        <w:pStyle w:val="2"/>
        <w:keepNext w:val="0"/>
        <w:keepLines w:val="0"/>
        <w:widowControl/>
        <w:suppressLineNumbers w:val="0"/>
        <w:spacing w:before="75" w:beforeAutospacing="0" w:after="210" w:afterAutospacing="0"/>
        <w:ind w:left="0" w:right="0"/>
      </w:pPr>
    </w:p>
    <w:p w14:paraId="2D591CF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2020年度收入总计207.91万元、支出总计210.89万元。与2019年相比，收入总计减少16.52万元，减少7.36%，支出总计减少7.00万元，增加3.21%。主要变动原因是厉行节约，节俭开支。</w:t>
      </w:r>
    </w:p>
    <w:p w14:paraId="661E38BC">
      <w:pPr>
        <w:pStyle w:val="2"/>
        <w:keepNext w:val="0"/>
        <w:keepLines w:val="0"/>
        <w:widowControl/>
        <w:suppressLineNumbers w:val="0"/>
        <w:spacing w:before="75" w:beforeAutospacing="0" w:after="210" w:afterAutospacing="0"/>
        <w:ind w:left="0" w:right="0"/>
      </w:pPr>
    </w:p>
    <w:p w14:paraId="0B44216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drawing>
          <wp:inline distT="0" distB="0" distL="114300" distR="114300">
            <wp:extent cx="4448175" cy="3876675"/>
            <wp:effectExtent l="0" t="0" r="9525" b="0"/>
            <wp:docPr id="6" name="图片 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图片1.png"/>
                    <pic:cNvPicPr>
                      <a:picLocks noChangeAspect="1"/>
                    </pic:cNvPicPr>
                  </pic:nvPicPr>
                  <pic:blipFill>
                    <a:blip r:embed="rId4"/>
                    <a:stretch>
                      <a:fillRect/>
                    </a:stretch>
                  </pic:blipFill>
                  <pic:spPr>
                    <a:xfrm>
                      <a:off x="0" y="0"/>
                      <a:ext cx="4448175" cy="3876675"/>
                    </a:xfrm>
                    <a:prstGeom prst="rect">
                      <a:avLst/>
                    </a:prstGeom>
                    <a:noFill/>
                    <a:ln w="9525">
                      <a:noFill/>
                    </a:ln>
                  </pic:spPr>
                </pic:pic>
              </a:graphicData>
            </a:graphic>
          </wp:inline>
        </w:drawing>
      </w:r>
    </w:p>
    <w:p w14:paraId="05C2D16A">
      <w:pPr>
        <w:pStyle w:val="2"/>
        <w:keepNext w:val="0"/>
        <w:keepLines w:val="0"/>
        <w:widowControl/>
        <w:suppressLineNumbers w:val="0"/>
        <w:spacing w:before="75" w:beforeAutospacing="0" w:after="210" w:afterAutospacing="0"/>
        <w:ind w:left="0" w:right="0"/>
      </w:pPr>
    </w:p>
    <w:p w14:paraId="7C270FF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（图1：收、支决算总计变动情况图）（柱状图）</w:t>
      </w:r>
    </w:p>
    <w:p w14:paraId="729B9E94">
      <w:pPr>
        <w:pStyle w:val="2"/>
        <w:keepNext w:val="0"/>
        <w:keepLines w:val="0"/>
        <w:widowControl/>
        <w:suppressLineNumbers w:val="0"/>
        <w:spacing w:before="75" w:beforeAutospacing="0" w:after="210" w:afterAutospacing="0"/>
        <w:ind w:left="0" w:right="0"/>
      </w:pPr>
    </w:p>
    <w:p w14:paraId="75CC898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二、收入决算情况说明</w:t>
      </w:r>
    </w:p>
    <w:p w14:paraId="442C1253">
      <w:pPr>
        <w:pStyle w:val="2"/>
        <w:keepNext w:val="0"/>
        <w:keepLines w:val="0"/>
        <w:widowControl/>
        <w:suppressLineNumbers w:val="0"/>
        <w:spacing w:before="75" w:beforeAutospacing="0" w:after="210" w:afterAutospacing="0"/>
        <w:ind w:left="0" w:right="0"/>
      </w:pPr>
    </w:p>
    <w:p w14:paraId="29A6AE8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本年收入合计207.91万元，其中：一般公共预算财政拨款收入191.93万元，占92.32%；政府性基金预算财政拨款收入15.97万元，占7.68%；上级补助收入0万元，占0%；事业收入0万元，占0%；经营收入0万元，占0%；附属单位上缴收入0万元，占0%；其他收入0万元，占0%。</w:t>
      </w:r>
    </w:p>
    <w:p w14:paraId="757E950E">
      <w:pPr>
        <w:pStyle w:val="2"/>
        <w:keepNext w:val="0"/>
        <w:keepLines w:val="0"/>
        <w:widowControl/>
        <w:suppressLineNumbers w:val="0"/>
        <w:spacing w:before="75" w:beforeAutospacing="0" w:after="210" w:afterAutospacing="0"/>
        <w:ind w:left="0" w:right="0"/>
      </w:pPr>
    </w:p>
    <w:p w14:paraId="483503A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drawing>
          <wp:inline distT="0" distB="0" distL="114300" distR="114300">
            <wp:extent cx="3990975" cy="3095625"/>
            <wp:effectExtent l="0" t="0" r="9525" b="9525"/>
            <wp:docPr id="5" name="图片 2"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图片2.png"/>
                    <pic:cNvPicPr>
                      <a:picLocks noChangeAspect="1"/>
                    </pic:cNvPicPr>
                  </pic:nvPicPr>
                  <pic:blipFill>
                    <a:blip r:embed="rId5"/>
                    <a:stretch>
                      <a:fillRect/>
                    </a:stretch>
                  </pic:blipFill>
                  <pic:spPr>
                    <a:xfrm>
                      <a:off x="0" y="0"/>
                      <a:ext cx="3990975" cy="3095625"/>
                    </a:xfrm>
                    <a:prstGeom prst="rect">
                      <a:avLst/>
                    </a:prstGeom>
                    <a:noFill/>
                    <a:ln w="9525">
                      <a:noFill/>
                    </a:ln>
                  </pic:spPr>
                </pic:pic>
              </a:graphicData>
            </a:graphic>
          </wp:inline>
        </w:drawing>
      </w:r>
    </w:p>
    <w:p w14:paraId="545C3AC4">
      <w:pPr>
        <w:pStyle w:val="2"/>
        <w:keepNext w:val="0"/>
        <w:keepLines w:val="0"/>
        <w:widowControl/>
        <w:suppressLineNumbers w:val="0"/>
        <w:spacing w:before="75" w:beforeAutospacing="0" w:after="210" w:afterAutospacing="0"/>
        <w:ind w:left="0" w:right="0"/>
      </w:pPr>
    </w:p>
    <w:p w14:paraId="6DC6B0F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（图2：收入决算结构图）（饼状图）</w:t>
      </w:r>
    </w:p>
    <w:p w14:paraId="2E8A7AD6">
      <w:pPr>
        <w:pStyle w:val="2"/>
        <w:keepNext w:val="0"/>
        <w:keepLines w:val="0"/>
        <w:widowControl/>
        <w:suppressLineNumbers w:val="0"/>
        <w:spacing w:before="75" w:beforeAutospacing="0" w:after="210" w:afterAutospacing="0"/>
        <w:ind w:left="0" w:right="0"/>
      </w:pPr>
    </w:p>
    <w:p w14:paraId="4349648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三、支出决算情况说明</w:t>
      </w:r>
    </w:p>
    <w:p w14:paraId="045E70F8">
      <w:pPr>
        <w:pStyle w:val="2"/>
        <w:keepNext w:val="0"/>
        <w:keepLines w:val="0"/>
        <w:widowControl/>
        <w:suppressLineNumbers w:val="0"/>
        <w:spacing w:before="75" w:beforeAutospacing="0" w:after="210" w:afterAutospacing="0"/>
        <w:ind w:left="0" w:right="0"/>
      </w:pPr>
    </w:p>
    <w:p w14:paraId="3021E42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2020年本年支出合计210.89万元，其中：基本支出142.80万元，占67.71%；项目支出68.09万元，占32.29%；上缴上级支出0万元，占0%；经营支出0万元，占0%；对附属单位补助支出0万元，占0%。</w:t>
      </w:r>
    </w:p>
    <w:p w14:paraId="12FCB439">
      <w:pPr>
        <w:pStyle w:val="2"/>
        <w:keepNext w:val="0"/>
        <w:keepLines w:val="0"/>
        <w:widowControl/>
        <w:suppressLineNumbers w:val="0"/>
        <w:spacing w:before="75" w:beforeAutospacing="0" w:after="210" w:afterAutospacing="0"/>
        <w:ind w:left="0" w:right="0"/>
      </w:pPr>
    </w:p>
    <w:p w14:paraId="34C4D82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drawing>
          <wp:inline distT="0" distB="0" distL="114300" distR="114300">
            <wp:extent cx="4010025" cy="3076575"/>
            <wp:effectExtent l="0" t="0" r="9525" b="9525"/>
            <wp:docPr id="1" name="图片 3"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图片3.png"/>
                    <pic:cNvPicPr>
                      <a:picLocks noChangeAspect="1"/>
                    </pic:cNvPicPr>
                  </pic:nvPicPr>
                  <pic:blipFill>
                    <a:blip r:embed="rId6"/>
                    <a:stretch>
                      <a:fillRect/>
                    </a:stretch>
                  </pic:blipFill>
                  <pic:spPr>
                    <a:xfrm>
                      <a:off x="0" y="0"/>
                      <a:ext cx="4010025" cy="3076575"/>
                    </a:xfrm>
                    <a:prstGeom prst="rect">
                      <a:avLst/>
                    </a:prstGeom>
                    <a:noFill/>
                    <a:ln w="9525">
                      <a:noFill/>
                    </a:ln>
                  </pic:spPr>
                </pic:pic>
              </a:graphicData>
            </a:graphic>
          </wp:inline>
        </w:drawing>
      </w:r>
    </w:p>
    <w:p w14:paraId="3E2E5E7E">
      <w:pPr>
        <w:pStyle w:val="2"/>
        <w:keepNext w:val="0"/>
        <w:keepLines w:val="0"/>
        <w:widowControl/>
        <w:suppressLineNumbers w:val="0"/>
        <w:spacing w:before="75" w:beforeAutospacing="0" w:after="210" w:afterAutospacing="0"/>
        <w:ind w:left="0" w:right="0"/>
      </w:pPr>
    </w:p>
    <w:p w14:paraId="4651767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（图3：支出决算结构图）（饼状图）</w:t>
      </w:r>
    </w:p>
    <w:p w14:paraId="6C2B2493">
      <w:pPr>
        <w:pStyle w:val="2"/>
        <w:keepNext w:val="0"/>
        <w:keepLines w:val="0"/>
        <w:widowControl/>
        <w:suppressLineNumbers w:val="0"/>
        <w:spacing w:before="75" w:beforeAutospacing="0" w:after="210" w:afterAutospacing="0"/>
        <w:ind w:left="0" w:right="0"/>
      </w:pPr>
    </w:p>
    <w:p w14:paraId="6A56484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四、财政拨款收入支出决算总体情况说明</w:t>
      </w:r>
    </w:p>
    <w:p w14:paraId="342E15FB">
      <w:pPr>
        <w:pStyle w:val="2"/>
        <w:keepNext w:val="0"/>
        <w:keepLines w:val="0"/>
        <w:widowControl/>
        <w:suppressLineNumbers w:val="0"/>
        <w:spacing w:before="75" w:beforeAutospacing="0" w:after="210" w:afterAutospacing="0"/>
        <w:ind w:left="0" w:right="0"/>
      </w:pPr>
    </w:p>
    <w:p w14:paraId="2C80228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2020年度收入总计207.91万元、支出总计210.89万元。与2019年相比，收入总计减少16.52万元，减少7.36%，支出总计减少7.00万元，增加3.21%。主要变动原因是厉行节约，节俭开支。</w:t>
      </w:r>
    </w:p>
    <w:p w14:paraId="124F739B">
      <w:pPr>
        <w:pStyle w:val="2"/>
        <w:keepNext w:val="0"/>
        <w:keepLines w:val="0"/>
        <w:widowControl/>
        <w:suppressLineNumbers w:val="0"/>
        <w:spacing w:before="75" w:beforeAutospacing="0" w:after="210" w:afterAutospacing="0"/>
        <w:ind w:left="0" w:right="0"/>
      </w:pPr>
    </w:p>
    <w:p w14:paraId="6D4442D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drawing>
          <wp:inline distT="0" distB="0" distL="114300" distR="114300">
            <wp:extent cx="4305300" cy="3429000"/>
            <wp:effectExtent l="0" t="0" r="0" b="0"/>
            <wp:docPr id="7" name="图片 4"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图片4.png"/>
                    <pic:cNvPicPr>
                      <a:picLocks noChangeAspect="1"/>
                    </pic:cNvPicPr>
                  </pic:nvPicPr>
                  <pic:blipFill>
                    <a:blip r:embed="rId7"/>
                    <a:stretch>
                      <a:fillRect/>
                    </a:stretch>
                  </pic:blipFill>
                  <pic:spPr>
                    <a:xfrm>
                      <a:off x="0" y="0"/>
                      <a:ext cx="4305300" cy="3429000"/>
                    </a:xfrm>
                    <a:prstGeom prst="rect">
                      <a:avLst/>
                    </a:prstGeom>
                    <a:noFill/>
                    <a:ln w="9525">
                      <a:noFill/>
                    </a:ln>
                  </pic:spPr>
                </pic:pic>
              </a:graphicData>
            </a:graphic>
          </wp:inline>
        </w:drawing>
      </w:r>
    </w:p>
    <w:p w14:paraId="67F8ED45">
      <w:pPr>
        <w:pStyle w:val="2"/>
        <w:keepNext w:val="0"/>
        <w:keepLines w:val="0"/>
        <w:widowControl/>
        <w:suppressLineNumbers w:val="0"/>
        <w:spacing w:before="75" w:beforeAutospacing="0" w:after="210" w:afterAutospacing="0"/>
        <w:ind w:left="0" w:right="0"/>
      </w:pPr>
    </w:p>
    <w:p w14:paraId="7AE4304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（图4：财政拨款收、支决算总计变动情况）（柱状图）</w:t>
      </w:r>
    </w:p>
    <w:p w14:paraId="1DB67A57">
      <w:pPr>
        <w:pStyle w:val="2"/>
        <w:keepNext w:val="0"/>
        <w:keepLines w:val="0"/>
        <w:widowControl/>
        <w:suppressLineNumbers w:val="0"/>
        <w:spacing w:before="75" w:beforeAutospacing="0" w:after="210" w:afterAutospacing="0"/>
        <w:ind w:left="0" w:right="0"/>
      </w:pPr>
    </w:p>
    <w:p w14:paraId="58E32FB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五、一般公共预算财政拨款支出决算情况说明</w:t>
      </w:r>
    </w:p>
    <w:p w14:paraId="77E339FB">
      <w:pPr>
        <w:pStyle w:val="2"/>
        <w:keepNext w:val="0"/>
        <w:keepLines w:val="0"/>
        <w:widowControl/>
        <w:suppressLineNumbers w:val="0"/>
        <w:spacing w:before="75" w:beforeAutospacing="0" w:after="210" w:afterAutospacing="0"/>
        <w:ind w:left="0" w:right="0"/>
      </w:pPr>
    </w:p>
    <w:p w14:paraId="5E3B969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（一）一般公共预算财政拨款支出决算总体情况</w:t>
      </w:r>
    </w:p>
    <w:p w14:paraId="7271B2C9">
      <w:pPr>
        <w:pStyle w:val="2"/>
        <w:keepNext w:val="0"/>
        <w:keepLines w:val="0"/>
        <w:widowControl/>
        <w:suppressLineNumbers w:val="0"/>
        <w:spacing w:before="75" w:beforeAutospacing="0" w:after="210" w:afterAutospacing="0"/>
        <w:ind w:left="0" w:right="0"/>
      </w:pPr>
    </w:p>
    <w:p w14:paraId="3993859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2020年一般公共预算财政拨款支出194.93万元，占本年支出合计的92.43%。与2019年相比，一般公共预算财政拨款减少12.95万元，减少6.23%。主要变动原因是上年返还额度本年支出。</w:t>
      </w:r>
    </w:p>
    <w:p w14:paraId="40A5525D">
      <w:pPr>
        <w:pStyle w:val="2"/>
        <w:keepNext w:val="0"/>
        <w:keepLines w:val="0"/>
        <w:widowControl/>
        <w:suppressLineNumbers w:val="0"/>
        <w:spacing w:before="75" w:beforeAutospacing="0" w:after="210" w:afterAutospacing="0"/>
        <w:ind w:left="0" w:right="0"/>
      </w:pPr>
    </w:p>
    <w:p w14:paraId="3154FAB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drawing>
          <wp:inline distT="0" distB="0" distL="114300" distR="114300">
            <wp:extent cx="3971925" cy="3038475"/>
            <wp:effectExtent l="0" t="0" r="9525" b="0"/>
            <wp:docPr id="2" name="图片 5" descr="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图片5.png"/>
                    <pic:cNvPicPr>
                      <a:picLocks noChangeAspect="1"/>
                    </pic:cNvPicPr>
                  </pic:nvPicPr>
                  <pic:blipFill>
                    <a:blip r:embed="rId8"/>
                    <a:stretch>
                      <a:fillRect/>
                    </a:stretch>
                  </pic:blipFill>
                  <pic:spPr>
                    <a:xfrm>
                      <a:off x="0" y="0"/>
                      <a:ext cx="3971925" cy="3038475"/>
                    </a:xfrm>
                    <a:prstGeom prst="rect">
                      <a:avLst/>
                    </a:prstGeom>
                    <a:noFill/>
                    <a:ln w="9525">
                      <a:noFill/>
                    </a:ln>
                  </pic:spPr>
                </pic:pic>
              </a:graphicData>
            </a:graphic>
          </wp:inline>
        </w:drawing>
      </w:r>
    </w:p>
    <w:p w14:paraId="10580EEB">
      <w:pPr>
        <w:pStyle w:val="2"/>
        <w:keepNext w:val="0"/>
        <w:keepLines w:val="0"/>
        <w:widowControl/>
        <w:suppressLineNumbers w:val="0"/>
        <w:spacing w:before="75" w:beforeAutospacing="0" w:after="210" w:afterAutospacing="0"/>
        <w:ind w:left="0" w:right="0"/>
      </w:pPr>
    </w:p>
    <w:p w14:paraId="3548204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图5：一般公共预算财政拨款支出决算变动情况）（柱状图）</w:t>
      </w:r>
    </w:p>
    <w:p w14:paraId="67D9184D">
      <w:pPr>
        <w:pStyle w:val="2"/>
        <w:keepNext w:val="0"/>
        <w:keepLines w:val="0"/>
        <w:widowControl/>
        <w:suppressLineNumbers w:val="0"/>
        <w:spacing w:before="75" w:beforeAutospacing="0" w:after="210" w:afterAutospacing="0"/>
        <w:ind w:left="0" w:right="0"/>
      </w:pPr>
    </w:p>
    <w:p w14:paraId="5AEA6AA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（二）一般公共预算财政拨款支出决算结构情况</w:t>
      </w:r>
    </w:p>
    <w:p w14:paraId="267FAC28">
      <w:pPr>
        <w:pStyle w:val="2"/>
        <w:keepNext w:val="0"/>
        <w:keepLines w:val="0"/>
        <w:widowControl/>
        <w:suppressLineNumbers w:val="0"/>
        <w:spacing w:before="75" w:beforeAutospacing="0" w:after="210" w:afterAutospacing="0"/>
        <w:ind w:left="0" w:right="0"/>
      </w:pPr>
    </w:p>
    <w:p w14:paraId="74A8D20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一般公共预算财政拨款支出194.93万元，主要用于以下方面:一般公共服务支出（201）支出114.66万元，占58.82%；社会保障和就业（208）支出11.03万元，占5.66%；卫生健康（210）支出3.82万元，占1.96%；住房保障（221）支出65.42万元，占33.56%。</w:t>
      </w:r>
    </w:p>
    <w:p w14:paraId="52BA5DEA">
      <w:pPr>
        <w:pStyle w:val="2"/>
        <w:keepNext w:val="0"/>
        <w:keepLines w:val="0"/>
        <w:widowControl/>
        <w:suppressLineNumbers w:val="0"/>
        <w:spacing w:before="75" w:beforeAutospacing="0" w:after="210" w:afterAutospacing="0"/>
        <w:ind w:left="0" w:right="0"/>
      </w:pPr>
    </w:p>
    <w:p w14:paraId="0FBBB23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drawing>
          <wp:inline distT="0" distB="0" distL="114300" distR="114300">
            <wp:extent cx="4124325" cy="3228975"/>
            <wp:effectExtent l="0" t="0" r="9525" b="9525"/>
            <wp:docPr id="3" name="图片 6" descr="图片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图片6.png"/>
                    <pic:cNvPicPr>
                      <a:picLocks noChangeAspect="1"/>
                    </pic:cNvPicPr>
                  </pic:nvPicPr>
                  <pic:blipFill>
                    <a:blip r:embed="rId9"/>
                    <a:stretch>
                      <a:fillRect/>
                    </a:stretch>
                  </pic:blipFill>
                  <pic:spPr>
                    <a:xfrm>
                      <a:off x="0" y="0"/>
                      <a:ext cx="4124325" cy="3228975"/>
                    </a:xfrm>
                    <a:prstGeom prst="rect">
                      <a:avLst/>
                    </a:prstGeom>
                    <a:noFill/>
                    <a:ln w="9525">
                      <a:noFill/>
                    </a:ln>
                  </pic:spPr>
                </pic:pic>
              </a:graphicData>
            </a:graphic>
          </wp:inline>
        </w:drawing>
      </w:r>
    </w:p>
    <w:p w14:paraId="79A89D79">
      <w:pPr>
        <w:pStyle w:val="2"/>
        <w:keepNext w:val="0"/>
        <w:keepLines w:val="0"/>
        <w:widowControl/>
        <w:suppressLineNumbers w:val="0"/>
        <w:spacing w:before="75" w:beforeAutospacing="0" w:after="210" w:afterAutospacing="0"/>
        <w:ind w:left="0" w:right="0"/>
      </w:pPr>
    </w:p>
    <w:p w14:paraId="571C085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（图6：一般公共预算财政拨款支出决算结构）（饼状图）</w:t>
      </w:r>
    </w:p>
    <w:p w14:paraId="7022AB07">
      <w:pPr>
        <w:pStyle w:val="2"/>
        <w:keepNext w:val="0"/>
        <w:keepLines w:val="0"/>
        <w:widowControl/>
        <w:suppressLineNumbers w:val="0"/>
        <w:spacing w:before="75" w:beforeAutospacing="0" w:after="210" w:afterAutospacing="0"/>
        <w:ind w:left="0" w:right="0"/>
      </w:pPr>
    </w:p>
    <w:p w14:paraId="6F238BE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（三）一般公共预算财政拨款支出决算具体情况</w:t>
      </w:r>
    </w:p>
    <w:p w14:paraId="240F9D86">
      <w:pPr>
        <w:pStyle w:val="2"/>
        <w:keepNext w:val="0"/>
        <w:keepLines w:val="0"/>
        <w:widowControl/>
        <w:suppressLineNumbers w:val="0"/>
        <w:spacing w:before="75" w:beforeAutospacing="0" w:after="210" w:afterAutospacing="0"/>
        <w:ind w:left="0" w:right="0"/>
      </w:pPr>
    </w:p>
    <w:p w14:paraId="452CEDA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2020年一般公共预算支出决算数为210.89万元，完成预算100%。其中：</w:t>
      </w:r>
    </w:p>
    <w:p w14:paraId="0536A6D7">
      <w:pPr>
        <w:pStyle w:val="2"/>
        <w:keepNext w:val="0"/>
        <w:keepLines w:val="0"/>
        <w:widowControl/>
        <w:suppressLineNumbers w:val="0"/>
        <w:spacing w:before="75" w:beforeAutospacing="0" w:after="210" w:afterAutospacing="0"/>
        <w:ind w:left="0" w:right="0"/>
      </w:pPr>
    </w:p>
    <w:p w14:paraId="0A2F1F3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1.一般公共服务支出（201）政府办公厅（室）及相关机构事务(03)其他政府办公厅（室）及相关机构事务支出(99):支出决算为113.82万元，完成预算100%。</w:t>
      </w:r>
    </w:p>
    <w:p w14:paraId="1603D252">
      <w:pPr>
        <w:pStyle w:val="2"/>
        <w:keepNext w:val="0"/>
        <w:keepLines w:val="0"/>
        <w:widowControl/>
        <w:suppressLineNumbers w:val="0"/>
        <w:spacing w:before="75" w:beforeAutospacing="0" w:after="210" w:afterAutospacing="0"/>
        <w:ind w:left="0" w:right="0"/>
      </w:pPr>
    </w:p>
    <w:p w14:paraId="501BB00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2.一般公共服务支出（201）群众团体事务(29)事业运行(50):支出决算为0.84万元，完成预算100%。</w:t>
      </w:r>
    </w:p>
    <w:p w14:paraId="1716CAF0">
      <w:pPr>
        <w:pStyle w:val="2"/>
        <w:keepNext w:val="0"/>
        <w:keepLines w:val="0"/>
        <w:widowControl/>
        <w:suppressLineNumbers w:val="0"/>
        <w:spacing w:before="75" w:beforeAutospacing="0" w:after="210" w:afterAutospacing="0"/>
        <w:ind w:left="0" w:right="0"/>
      </w:pPr>
    </w:p>
    <w:p w14:paraId="5BD0CC8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3.社会保障和就业（208）行政事业单位养老支出(05)机关事业单位基本养老保险缴费支出(05):支出决算为9.58万元，完成预算100%。</w:t>
      </w:r>
    </w:p>
    <w:p w14:paraId="53F97A5F">
      <w:pPr>
        <w:pStyle w:val="2"/>
        <w:keepNext w:val="0"/>
        <w:keepLines w:val="0"/>
        <w:widowControl/>
        <w:suppressLineNumbers w:val="0"/>
        <w:spacing w:before="75" w:beforeAutospacing="0" w:after="210" w:afterAutospacing="0"/>
        <w:ind w:left="0" w:right="0"/>
      </w:pPr>
    </w:p>
    <w:p w14:paraId="5438925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4.社会保障和就业（208）行政事业单位养老支出(05)机关事业单位职业年金缴费支出(06):支出决算为0.98万元，完成预算100%。</w:t>
      </w:r>
    </w:p>
    <w:p w14:paraId="69241FCC">
      <w:pPr>
        <w:pStyle w:val="2"/>
        <w:keepNext w:val="0"/>
        <w:keepLines w:val="0"/>
        <w:widowControl/>
        <w:suppressLineNumbers w:val="0"/>
        <w:spacing w:before="75" w:beforeAutospacing="0" w:after="210" w:afterAutospacing="0"/>
        <w:ind w:left="0" w:right="0"/>
      </w:pPr>
    </w:p>
    <w:p w14:paraId="7530119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5.社会保障和就业（208）其他社会保障和就业支出(99) 其他社会保障和就业支出(01):支出决算为0.47万元，完成预算100%。</w:t>
      </w:r>
    </w:p>
    <w:p w14:paraId="0323661E">
      <w:pPr>
        <w:pStyle w:val="2"/>
        <w:keepNext w:val="0"/>
        <w:keepLines w:val="0"/>
        <w:widowControl/>
        <w:suppressLineNumbers w:val="0"/>
        <w:spacing w:before="75" w:beforeAutospacing="0" w:after="210" w:afterAutospacing="0"/>
        <w:ind w:left="0" w:right="0"/>
      </w:pPr>
    </w:p>
    <w:p w14:paraId="4939E0D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6.卫生健康支出(210)行政事业单位医疗(11)事业单位医疗(02):支出决算为3.82万元，完成预算100%。</w:t>
      </w:r>
    </w:p>
    <w:p w14:paraId="22B5789E">
      <w:pPr>
        <w:pStyle w:val="2"/>
        <w:keepNext w:val="0"/>
        <w:keepLines w:val="0"/>
        <w:widowControl/>
        <w:suppressLineNumbers w:val="0"/>
        <w:spacing w:before="75" w:beforeAutospacing="0" w:after="210" w:afterAutospacing="0"/>
        <w:ind w:left="0" w:right="0"/>
      </w:pPr>
    </w:p>
    <w:p w14:paraId="3A06B02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7.住房保障支出(211)住房改革支出(02)住房公积金(01):支出决算为13.31万元，完成预算100%。</w:t>
      </w:r>
    </w:p>
    <w:p w14:paraId="5938CB73">
      <w:pPr>
        <w:pStyle w:val="2"/>
        <w:keepNext w:val="0"/>
        <w:keepLines w:val="0"/>
        <w:widowControl/>
        <w:suppressLineNumbers w:val="0"/>
        <w:spacing w:before="75" w:beforeAutospacing="0" w:after="210" w:afterAutospacing="0"/>
        <w:ind w:left="0" w:right="0"/>
      </w:pPr>
    </w:p>
    <w:p w14:paraId="0AC766B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8.住房保障支出(211)城乡社区住宅(03)其他城乡社区住宅支出(99):支出决算为52.11万元，完成预算100%。</w:t>
      </w:r>
    </w:p>
    <w:p w14:paraId="7BBF0C37">
      <w:pPr>
        <w:pStyle w:val="2"/>
        <w:keepNext w:val="0"/>
        <w:keepLines w:val="0"/>
        <w:widowControl/>
        <w:suppressLineNumbers w:val="0"/>
        <w:spacing w:before="75" w:beforeAutospacing="0" w:after="210" w:afterAutospacing="0"/>
        <w:ind w:left="0" w:right="0"/>
      </w:pPr>
    </w:p>
    <w:p w14:paraId="31A2B1C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六、一般公共预算财政拨款基本支出决算情况说明</w:t>
      </w:r>
    </w:p>
    <w:p w14:paraId="025379BE">
      <w:pPr>
        <w:pStyle w:val="2"/>
        <w:keepNext w:val="0"/>
        <w:keepLines w:val="0"/>
        <w:widowControl/>
        <w:suppressLineNumbers w:val="0"/>
        <w:spacing w:before="75" w:beforeAutospacing="0" w:after="210" w:afterAutospacing="0"/>
        <w:ind w:left="0" w:right="0"/>
      </w:pPr>
    </w:p>
    <w:p w14:paraId="34D11DC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2020年一般公共预算财政拨款基本支出142.80万元，其中：</w:t>
      </w:r>
    </w:p>
    <w:p w14:paraId="755EEF08">
      <w:pPr>
        <w:pStyle w:val="2"/>
        <w:keepNext w:val="0"/>
        <w:keepLines w:val="0"/>
        <w:widowControl/>
        <w:suppressLineNumbers w:val="0"/>
        <w:spacing w:before="75" w:beforeAutospacing="0" w:after="210" w:afterAutospacing="0"/>
        <w:ind w:left="0" w:right="0"/>
      </w:pPr>
    </w:p>
    <w:p w14:paraId="7B96CBD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人员经费123.30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54A33312">
      <w:pPr>
        <w:pStyle w:val="2"/>
        <w:keepNext w:val="0"/>
        <w:keepLines w:val="0"/>
        <w:widowControl/>
        <w:suppressLineNumbers w:val="0"/>
        <w:spacing w:before="75" w:beforeAutospacing="0" w:after="210" w:afterAutospacing="0"/>
        <w:ind w:left="0" w:right="0"/>
      </w:pPr>
    </w:p>
    <w:p w14:paraId="63E83AB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日常公用经费19.50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521023E">
      <w:pPr>
        <w:pStyle w:val="2"/>
        <w:keepNext w:val="0"/>
        <w:keepLines w:val="0"/>
        <w:widowControl/>
        <w:suppressLineNumbers w:val="0"/>
        <w:spacing w:before="75" w:beforeAutospacing="0" w:after="210" w:afterAutospacing="0"/>
        <w:ind w:left="0" w:right="0"/>
      </w:pPr>
    </w:p>
    <w:p w14:paraId="065F1CF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七、“三公”经费财政拨款支出决算情况说明</w:t>
      </w:r>
    </w:p>
    <w:p w14:paraId="7A8E50CB">
      <w:pPr>
        <w:pStyle w:val="2"/>
        <w:keepNext w:val="0"/>
        <w:keepLines w:val="0"/>
        <w:widowControl/>
        <w:suppressLineNumbers w:val="0"/>
        <w:spacing w:before="75" w:beforeAutospacing="0" w:after="210" w:afterAutospacing="0"/>
        <w:ind w:left="0" w:right="0"/>
      </w:pPr>
    </w:p>
    <w:p w14:paraId="2E85FA5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（一）“三公”经费财政拨款支出决算总体情况说明</w:t>
      </w:r>
    </w:p>
    <w:p w14:paraId="76A2CE00">
      <w:pPr>
        <w:pStyle w:val="2"/>
        <w:keepNext w:val="0"/>
        <w:keepLines w:val="0"/>
        <w:widowControl/>
        <w:suppressLineNumbers w:val="0"/>
        <w:spacing w:before="75" w:beforeAutospacing="0" w:after="210" w:afterAutospacing="0"/>
        <w:ind w:left="0" w:right="0"/>
      </w:pPr>
    </w:p>
    <w:p w14:paraId="3967517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2020年“三公”经费财政拨款支出决算为6.31万元，完成预算100%，与2019年相比，增加0.22万元，增加3.80%。主要原因是评审项目开展较多。</w:t>
      </w:r>
    </w:p>
    <w:p w14:paraId="3177F226">
      <w:pPr>
        <w:pStyle w:val="2"/>
        <w:keepNext w:val="0"/>
        <w:keepLines w:val="0"/>
        <w:widowControl/>
        <w:suppressLineNumbers w:val="0"/>
        <w:spacing w:before="75" w:beforeAutospacing="0" w:after="210" w:afterAutospacing="0"/>
        <w:ind w:left="0" w:right="0"/>
      </w:pPr>
    </w:p>
    <w:p w14:paraId="5FEEAA0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（二）“三公”经费财政拨款支出决算具体情况说明</w:t>
      </w:r>
    </w:p>
    <w:p w14:paraId="49886B44">
      <w:pPr>
        <w:pStyle w:val="2"/>
        <w:keepNext w:val="0"/>
        <w:keepLines w:val="0"/>
        <w:widowControl/>
        <w:suppressLineNumbers w:val="0"/>
        <w:spacing w:before="75" w:beforeAutospacing="0" w:after="210" w:afterAutospacing="0"/>
        <w:ind w:left="0" w:right="0"/>
      </w:pPr>
    </w:p>
    <w:p w14:paraId="0A8CCBE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2020年“三公”经费财政拨款支出决算中，因公出国（境）费支出决算0万元，占0%；公务用车购置及运行维护费支出决算4.30万元，占70.15%；公务接待费支出决算1.83万元，占29.85%。具体情况如下：</w:t>
      </w:r>
    </w:p>
    <w:p w14:paraId="0E1B3087">
      <w:pPr>
        <w:pStyle w:val="2"/>
        <w:keepNext w:val="0"/>
        <w:keepLines w:val="0"/>
        <w:widowControl/>
        <w:suppressLineNumbers w:val="0"/>
        <w:spacing w:before="75" w:beforeAutospacing="0" w:after="210" w:afterAutospacing="0"/>
        <w:ind w:left="0" w:right="0"/>
      </w:pPr>
    </w:p>
    <w:p w14:paraId="6C93855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drawing>
          <wp:inline distT="0" distB="0" distL="114300" distR="114300">
            <wp:extent cx="4105275" cy="3295650"/>
            <wp:effectExtent l="0" t="0" r="9525" b="0"/>
            <wp:docPr id="4" name="图片 7" descr="图片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图片7.png"/>
                    <pic:cNvPicPr>
                      <a:picLocks noChangeAspect="1"/>
                    </pic:cNvPicPr>
                  </pic:nvPicPr>
                  <pic:blipFill>
                    <a:blip r:embed="rId10"/>
                    <a:stretch>
                      <a:fillRect/>
                    </a:stretch>
                  </pic:blipFill>
                  <pic:spPr>
                    <a:xfrm>
                      <a:off x="0" y="0"/>
                      <a:ext cx="4105275" cy="3295650"/>
                    </a:xfrm>
                    <a:prstGeom prst="rect">
                      <a:avLst/>
                    </a:prstGeom>
                    <a:noFill/>
                    <a:ln w="9525">
                      <a:noFill/>
                    </a:ln>
                  </pic:spPr>
                </pic:pic>
              </a:graphicData>
            </a:graphic>
          </wp:inline>
        </w:drawing>
      </w:r>
    </w:p>
    <w:p w14:paraId="4A838462">
      <w:pPr>
        <w:pStyle w:val="2"/>
        <w:keepNext w:val="0"/>
        <w:keepLines w:val="0"/>
        <w:widowControl/>
        <w:suppressLineNumbers w:val="0"/>
        <w:spacing w:before="75" w:beforeAutospacing="0" w:after="210" w:afterAutospacing="0"/>
        <w:ind w:left="0" w:right="0"/>
      </w:pPr>
    </w:p>
    <w:p w14:paraId="495434C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（图7：“三公”经费财政拨款支出结构）（饼状图）</w:t>
      </w:r>
    </w:p>
    <w:p w14:paraId="22EF0194">
      <w:pPr>
        <w:pStyle w:val="2"/>
        <w:keepNext w:val="0"/>
        <w:keepLines w:val="0"/>
        <w:widowControl/>
        <w:suppressLineNumbers w:val="0"/>
        <w:spacing w:before="75" w:beforeAutospacing="0" w:after="210" w:afterAutospacing="0"/>
        <w:ind w:left="0" w:right="0"/>
      </w:pPr>
    </w:p>
    <w:p w14:paraId="17D6527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1.因公出国（境）经费支出0万元，完成预算100%。全年安排因公出国（境）团组0次，出国（境）0人。</w:t>
      </w:r>
    </w:p>
    <w:p w14:paraId="35E2E273">
      <w:pPr>
        <w:pStyle w:val="2"/>
        <w:keepNext w:val="0"/>
        <w:keepLines w:val="0"/>
        <w:widowControl/>
        <w:suppressLineNumbers w:val="0"/>
        <w:spacing w:before="75" w:beforeAutospacing="0" w:after="210" w:afterAutospacing="0"/>
        <w:ind w:left="0" w:right="0"/>
      </w:pPr>
    </w:p>
    <w:p w14:paraId="0BFE6C9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2.公务用车购置及运行维护费支出4.30万元,完成预算100%。</w:t>
      </w:r>
    </w:p>
    <w:p w14:paraId="0BB3A02C">
      <w:pPr>
        <w:pStyle w:val="2"/>
        <w:keepNext w:val="0"/>
        <w:keepLines w:val="0"/>
        <w:widowControl/>
        <w:suppressLineNumbers w:val="0"/>
        <w:spacing w:before="75" w:beforeAutospacing="0" w:after="210" w:afterAutospacing="0"/>
        <w:ind w:left="0" w:right="0"/>
      </w:pPr>
    </w:p>
    <w:p w14:paraId="76EA21C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其中：公务用车购置支出0万元。全年按规定更新购置公务用车0辆，金额0元。截至2020年12月底，单位共有公务用车1辆，其中：主要领导干部用车0辆、机要通信用车0辆、应急保障用车1辆、执法执勤用车0辆、特种专业技术用车0辆、其他用车0辆。</w:t>
      </w:r>
    </w:p>
    <w:p w14:paraId="3A3DA1A1">
      <w:pPr>
        <w:pStyle w:val="2"/>
        <w:keepNext w:val="0"/>
        <w:keepLines w:val="0"/>
        <w:widowControl/>
        <w:suppressLineNumbers w:val="0"/>
        <w:spacing w:before="75" w:beforeAutospacing="0" w:after="210" w:afterAutospacing="0"/>
        <w:ind w:left="0" w:right="0"/>
      </w:pPr>
    </w:p>
    <w:p w14:paraId="78B3498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公务用车运行维护费支出4.30万元，完成预算100%。比2019年增加0.33万元，增加8.21%。主要原因是：2020年评审项目开展较多，正常工作需要。</w:t>
      </w:r>
    </w:p>
    <w:p w14:paraId="2662F698">
      <w:pPr>
        <w:pStyle w:val="2"/>
        <w:keepNext w:val="0"/>
        <w:keepLines w:val="0"/>
        <w:widowControl/>
        <w:suppressLineNumbers w:val="0"/>
        <w:spacing w:before="75" w:beforeAutospacing="0" w:after="210" w:afterAutospacing="0"/>
        <w:ind w:left="0" w:right="0"/>
      </w:pPr>
    </w:p>
    <w:p w14:paraId="3392550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3.公务接待费支出1.83万元，完成预算100%。公务接待87次，接待人次432次，公务接待费支出决算比2019年减少0.1万元，减少5.26%。主要原因是：厉行节约，节俭开支。</w:t>
      </w:r>
    </w:p>
    <w:p w14:paraId="79336A57">
      <w:pPr>
        <w:pStyle w:val="2"/>
        <w:keepNext w:val="0"/>
        <w:keepLines w:val="0"/>
        <w:widowControl/>
        <w:suppressLineNumbers w:val="0"/>
        <w:spacing w:before="75" w:beforeAutospacing="0" w:after="210" w:afterAutospacing="0"/>
        <w:ind w:left="0" w:right="0"/>
      </w:pPr>
    </w:p>
    <w:p w14:paraId="5A98227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八、政府性基金预算支出决算情况说明</w:t>
      </w:r>
    </w:p>
    <w:p w14:paraId="45CCB30D">
      <w:pPr>
        <w:pStyle w:val="2"/>
        <w:keepNext w:val="0"/>
        <w:keepLines w:val="0"/>
        <w:widowControl/>
        <w:suppressLineNumbers w:val="0"/>
        <w:spacing w:before="75" w:beforeAutospacing="0" w:after="210" w:afterAutospacing="0"/>
        <w:ind w:left="0" w:right="0"/>
      </w:pPr>
    </w:p>
    <w:p w14:paraId="76814DD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2020年政府性基金预算拨款支出15.97万元。比2019年增加5.97万元，增加59.74%。主要原因是：2020年评审项目开展较多，专家评审费增加。</w:t>
      </w:r>
    </w:p>
    <w:p w14:paraId="75155D2B">
      <w:pPr>
        <w:pStyle w:val="2"/>
        <w:keepNext w:val="0"/>
        <w:keepLines w:val="0"/>
        <w:widowControl/>
        <w:suppressLineNumbers w:val="0"/>
        <w:spacing w:before="75" w:beforeAutospacing="0" w:after="210" w:afterAutospacing="0"/>
        <w:ind w:left="0" w:right="0"/>
      </w:pPr>
    </w:p>
    <w:p w14:paraId="4117EA3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九、国有资本经营预算支出决算情况说明</w:t>
      </w:r>
    </w:p>
    <w:p w14:paraId="392F70F8">
      <w:pPr>
        <w:pStyle w:val="2"/>
        <w:keepNext w:val="0"/>
        <w:keepLines w:val="0"/>
        <w:widowControl/>
        <w:suppressLineNumbers w:val="0"/>
        <w:spacing w:before="75" w:beforeAutospacing="0" w:after="210" w:afterAutospacing="0"/>
        <w:ind w:left="0" w:right="0"/>
      </w:pPr>
    </w:p>
    <w:p w14:paraId="384BEE1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2020年国有资本经营预算拨款支出0万元。</w:t>
      </w:r>
    </w:p>
    <w:p w14:paraId="45E28D17">
      <w:pPr>
        <w:pStyle w:val="2"/>
        <w:keepNext w:val="0"/>
        <w:keepLines w:val="0"/>
        <w:widowControl/>
        <w:suppressLineNumbers w:val="0"/>
        <w:spacing w:before="75" w:beforeAutospacing="0" w:after="210" w:afterAutospacing="0"/>
        <w:ind w:left="0" w:right="0"/>
      </w:pPr>
    </w:p>
    <w:p w14:paraId="4654765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十、其他重要事项的情况说明</w:t>
      </w:r>
    </w:p>
    <w:p w14:paraId="17C8B909">
      <w:pPr>
        <w:pStyle w:val="2"/>
        <w:keepNext w:val="0"/>
        <w:keepLines w:val="0"/>
        <w:widowControl/>
        <w:suppressLineNumbers w:val="0"/>
        <w:spacing w:before="75" w:beforeAutospacing="0" w:after="210" w:afterAutospacing="0"/>
        <w:ind w:left="0" w:right="0"/>
      </w:pPr>
    </w:p>
    <w:p w14:paraId="0330FCF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（一）机关运行经费支出情况</w:t>
      </w:r>
    </w:p>
    <w:p w14:paraId="67B1D86A">
      <w:pPr>
        <w:pStyle w:val="2"/>
        <w:keepNext w:val="0"/>
        <w:keepLines w:val="0"/>
        <w:widowControl/>
        <w:suppressLineNumbers w:val="0"/>
        <w:spacing w:before="75" w:beforeAutospacing="0" w:after="210" w:afterAutospacing="0"/>
        <w:ind w:left="0" w:right="0"/>
      </w:pPr>
    </w:p>
    <w:p w14:paraId="074E1CC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2020年，四川省乐山市沙湾区公共资源交易服务中心机关运行经费支出0万元。</w:t>
      </w:r>
    </w:p>
    <w:p w14:paraId="675E06B2">
      <w:pPr>
        <w:pStyle w:val="2"/>
        <w:keepNext w:val="0"/>
        <w:keepLines w:val="0"/>
        <w:widowControl/>
        <w:suppressLineNumbers w:val="0"/>
        <w:spacing w:before="75" w:beforeAutospacing="0" w:after="210" w:afterAutospacing="0"/>
        <w:ind w:left="0" w:right="0"/>
      </w:pPr>
    </w:p>
    <w:p w14:paraId="4B27F194">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（二）政府采购支出情况</w:t>
      </w:r>
    </w:p>
    <w:p w14:paraId="2C226CF9">
      <w:pPr>
        <w:pStyle w:val="2"/>
        <w:keepNext w:val="0"/>
        <w:keepLines w:val="0"/>
        <w:widowControl/>
        <w:suppressLineNumbers w:val="0"/>
        <w:spacing w:before="75" w:beforeAutospacing="0" w:after="210" w:afterAutospacing="0"/>
        <w:ind w:left="0" w:right="0"/>
      </w:pPr>
    </w:p>
    <w:p w14:paraId="164AD12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四川省乐山市沙湾区公共资源交易服务中心政府采购支出总额0万元，其中：政府采购货物支出0.00万元、政府采购工程支出0万元、政府采购服务支出0.00万元。授予中小企业合同金额0.00万元，占政府采购支出总额的0.00%，其中：授予小微企业合同金额0.00万元，占政府采购支出总额的0.00%。</w:t>
      </w:r>
    </w:p>
    <w:p w14:paraId="27F8EDC9">
      <w:pPr>
        <w:pStyle w:val="2"/>
        <w:keepNext w:val="0"/>
        <w:keepLines w:val="0"/>
        <w:widowControl/>
        <w:suppressLineNumbers w:val="0"/>
        <w:spacing w:before="75" w:beforeAutospacing="0" w:after="210" w:afterAutospacing="0"/>
        <w:ind w:left="0" w:right="0"/>
      </w:pPr>
    </w:p>
    <w:p w14:paraId="668C7F9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（三）国有资产占有使用情况</w:t>
      </w:r>
    </w:p>
    <w:p w14:paraId="57C84D7D">
      <w:pPr>
        <w:pStyle w:val="2"/>
        <w:keepNext w:val="0"/>
        <w:keepLines w:val="0"/>
        <w:widowControl/>
        <w:suppressLineNumbers w:val="0"/>
        <w:spacing w:before="75" w:beforeAutospacing="0" w:after="210" w:afterAutospacing="0"/>
        <w:ind w:left="0" w:right="0"/>
      </w:pPr>
    </w:p>
    <w:p w14:paraId="075F752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截至2020年12月31日，四川省乐山市沙湾区公共资源交易服务中心共有车辆1辆，其中：主要领导干部用车0辆、机要通信用车0辆、执法执勤用车0辆、特种专业技术用车0辆、应急保障用车1辆、其他用车0辆、单价50万元以上通用设备0台（套），单价100万元以上专用设备0台（套）。</w:t>
      </w:r>
    </w:p>
    <w:p w14:paraId="06AF2094">
      <w:pPr>
        <w:pStyle w:val="2"/>
        <w:keepNext w:val="0"/>
        <w:keepLines w:val="0"/>
        <w:widowControl/>
        <w:suppressLineNumbers w:val="0"/>
        <w:spacing w:before="75" w:beforeAutospacing="0" w:after="210" w:afterAutospacing="0"/>
        <w:ind w:left="0" w:right="0"/>
      </w:pPr>
    </w:p>
    <w:p w14:paraId="161A871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（四）预算绩效管理情况</w:t>
      </w:r>
    </w:p>
    <w:p w14:paraId="481DBE14">
      <w:pPr>
        <w:pStyle w:val="2"/>
        <w:keepNext w:val="0"/>
        <w:keepLines w:val="0"/>
        <w:widowControl/>
        <w:suppressLineNumbers w:val="0"/>
        <w:spacing w:before="75" w:beforeAutospacing="0" w:after="210" w:afterAutospacing="0"/>
        <w:ind w:left="0" w:right="0"/>
      </w:pPr>
    </w:p>
    <w:p w14:paraId="6174311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根据预算绩效管理要求，本部门（单位）在年初预算编制阶段，组织对2个项目开展了预算事前绩效评估，对2个项目编制了绩效目标，预算执行过程中，对2个项目开展绩效监控，年终执行完毕后，对2个项目开展了绩效目标完成情况自评。</w:t>
      </w:r>
    </w:p>
    <w:p w14:paraId="082F0F61">
      <w:pPr>
        <w:pStyle w:val="2"/>
        <w:keepNext w:val="0"/>
        <w:keepLines w:val="0"/>
        <w:widowControl/>
        <w:suppressLineNumbers w:val="0"/>
        <w:spacing w:before="75" w:beforeAutospacing="0" w:after="210" w:afterAutospacing="0"/>
        <w:ind w:left="0" w:right="0"/>
      </w:pPr>
    </w:p>
    <w:p w14:paraId="08442E0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本部门按要求对2020年部门整体支出开展绩效自评，从评价情况来看本单位履行职责职能,严格按预算法及区委区政府的要求编制预决算、按财经法规及制度使用、管理资金,成效明显。资金使用效益合理有效，资金使用社会效益良好，单位整体绩效自评结果为“良”。根据本级财政要求，本部门今年对照年初预算项目绩效，自行梳理，项目绩效完成情况良好。</w:t>
      </w:r>
    </w:p>
    <w:p w14:paraId="5AA9942D">
      <w:pPr>
        <w:pStyle w:val="2"/>
        <w:keepNext w:val="0"/>
        <w:keepLines w:val="0"/>
        <w:widowControl/>
        <w:suppressLineNumbers w:val="0"/>
        <w:spacing w:before="75" w:beforeAutospacing="0" w:after="210" w:afterAutospacing="0"/>
        <w:ind w:left="0" w:right="0"/>
      </w:pPr>
    </w:p>
    <w:p w14:paraId="52D856E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1.项目绩效目标完成情况。</w:t>
      </w:r>
    </w:p>
    <w:p w14:paraId="32EECDF6">
      <w:pPr>
        <w:pStyle w:val="2"/>
        <w:keepNext w:val="0"/>
        <w:keepLines w:val="0"/>
        <w:widowControl/>
        <w:suppressLineNumbers w:val="0"/>
        <w:spacing w:before="75" w:beforeAutospacing="0" w:after="210" w:afterAutospacing="0"/>
        <w:ind w:left="0" w:right="0"/>
      </w:pPr>
    </w:p>
    <w:p w14:paraId="305FD7C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本部门在2020年度部门决算中反映“专家评审费”，“办公楼维修费”2个项目绩效目标实际完成情况。</w:t>
      </w:r>
    </w:p>
    <w:p w14:paraId="2BB4145C">
      <w:pPr>
        <w:pStyle w:val="2"/>
        <w:keepNext w:val="0"/>
        <w:keepLines w:val="0"/>
        <w:widowControl/>
        <w:suppressLineNumbers w:val="0"/>
        <w:spacing w:before="75" w:beforeAutospacing="0" w:after="210" w:afterAutospacing="0"/>
        <w:ind w:left="0" w:right="0"/>
      </w:pPr>
    </w:p>
    <w:p w14:paraId="70F3E26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（1）专家评审费项目绩效目标完成情况综述。项目全年预算数15.97万元，执行数为15.97万元，完成预算的100%。通过项目实施，完成2020年专家评审工作。</w:t>
      </w:r>
    </w:p>
    <w:p w14:paraId="3FF72A1F">
      <w:pPr>
        <w:pStyle w:val="2"/>
        <w:keepNext w:val="0"/>
        <w:keepLines w:val="0"/>
        <w:widowControl/>
        <w:suppressLineNumbers w:val="0"/>
        <w:spacing w:before="75" w:beforeAutospacing="0" w:after="210" w:afterAutospacing="0"/>
        <w:ind w:left="0" w:right="0"/>
      </w:pPr>
    </w:p>
    <w:p w14:paraId="784754C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（2）办公楼维修费项目绩效目标完成情况综述。项目全年预算数52.11万元，执行数为52.11万元，完成预算的100%。通过项目实施，完成2020年办公楼维修工作。</w:t>
      </w:r>
    </w:p>
    <w:tbl>
      <w:tblPr>
        <w:tblStyle w:val="3"/>
        <w:tblW w:w="996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90"/>
        <w:gridCol w:w="1319"/>
        <w:gridCol w:w="998"/>
        <w:gridCol w:w="2309"/>
        <w:gridCol w:w="2322"/>
        <w:gridCol w:w="2322"/>
      </w:tblGrid>
      <w:tr w14:paraId="1C6ECD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5" w:hRule="atLeast"/>
        </w:trPr>
        <w:tc>
          <w:tcPr>
            <w:tcW w:w="9960" w:type="dxa"/>
            <w:gridSpan w:val="6"/>
            <w:tcBorders>
              <w:top w:val="single" w:color="000000" w:sz="6" w:space="0"/>
              <w:left w:val="single" w:color="000000" w:sz="6" w:space="0"/>
              <w:bottom w:val="single" w:color="000000" w:sz="6" w:space="0"/>
              <w:right w:val="single" w:color="000000" w:sz="6" w:space="0"/>
            </w:tcBorders>
            <w:shd w:val="clear" w:color="auto" w:fill="auto"/>
            <w:tcMar>
              <w:bottom w:w="0" w:type="dxa"/>
            </w:tcMar>
            <w:vAlign w:val="center"/>
          </w:tcPr>
          <w:p w14:paraId="7F49FC7F">
            <w:pPr>
              <w:keepNext w:val="0"/>
              <w:keepLines w:val="0"/>
              <w:widowControl/>
              <w:suppressLineNumbers w:val="0"/>
              <w:jc w:val="left"/>
            </w:pPr>
          </w:p>
          <w:p w14:paraId="39CE45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5"/>
                <w:rFonts w:hint="eastAsia" w:ascii="宋体" w:hAnsi="宋体" w:eastAsia="宋体" w:cs="宋体"/>
                <w:sz w:val="36"/>
                <w:szCs w:val="36"/>
              </w:rPr>
              <w:t>   项目绩效目标完成情况表</w:t>
            </w:r>
            <w:r>
              <w:rPr>
                <w:rFonts w:hint="eastAsia" w:ascii="宋体" w:hAnsi="宋体" w:eastAsia="宋体" w:cs="宋体"/>
                <w:sz w:val="36"/>
                <w:szCs w:val="36"/>
              </w:rPr>
              <w:t>(2020年度)</w:t>
            </w:r>
          </w:p>
        </w:tc>
      </w:tr>
      <w:tr w14:paraId="3A614A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trPr>
        <w:tc>
          <w:tcPr>
            <w:tcW w:w="2775" w:type="dxa"/>
            <w:gridSpan w:val="3"/>
            <w:tcBorders>
              <w:top w:val="nil"/>
              <w:left w:val="single" w:color="auto" w:sz="6" w:space="0"/>
              <w:bottom w:val="single" w:color="auto" w:sz="6" w:space="0"/>
              <w:right w:val="single" w:color="auto" w:sz="6" w:space="0"/>
            </w:tcBorders>
            <w:shd w:val="clear" w:color="auto" w:fill="auto"/>
            <w:tcMar>
              <w:bottom w:w="0" w:type="dxa"/>
            </w:tcMar>
            <w:vAlign w:val="center"/>
          </w:tcPr>
          <w:p w14:paraId="4C6D41C8">
            <w:pPr>
              <w:keepNext w:val="0"/>
              <w:keepLines w:val="0"/>
              <w:widowControl/>
              <w:suppressLineNumbers w:val="0"/>
              <w:jc w:val="left"/>
            </w:pPr>
          </w:p>
          <w:p w14:paraId="4A9E05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项目名称</w:t>
            </w:r>
          </w:p>
        </w:tc>
        <w:tc>
          <w:tcPr>
            <w:tcW w:w="7185" w:type="dxa"/>
            <w:gridSpan w:val="3"/>
            <w:tcBorders>
              <w:top w:val="single" w:color="auto" w:sz="6" w:space="0"/>
              <w:left w:val="nil"/>
              <w:bottom w:val="single" w:color="auto" w:sz="6" w:space="0"/>
              <w:right w:val="single" w:color="auto" w:sz="6" w:space="0"/>
            </w:tcBorders>
            <w:shd w:val="clear" w:color="auto" w:fill="auto"/>
            <w:tcMar>
              <w:bottom w:w="0" w:type="dxa"/>
            </w:tcMar>
            <w:vAlign w:val="center"/>
          </w:tcPr>
          <w:p w14:paraId="1C0C9B14">
            <w:pPr>
              <w:keepNext w:val="0"/>
              <w:keepLines w:val="0"/>
              <w:widowControl/>
              <w:suppressLineNumbers w:val="0"/>
              <w:jc w:val="left"/>
            </w:pPr>
          </w:p>
          <w:p w14:paraId="4E23DF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专家评审费</w:t>
            </w:r>
          </w:p>
        </w:tc>
      </w:tr>
      <w:tr w14:paraId="6E9889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70" w:hRule="atLeast"/>
        </w:trPr>
        <w:tc>
          <w:tcPr>
            <w:tcW w:w="2775" w:type="dxa"/>
            <w:gridSpan w:val="3"/>
            <w:tcBorders>
              <w:top w:val="nil"/>
              <w:left w:val="single" w:color="auto" w:sz="6" w:space="0"/>
              <w:bottom w:val="single" w:color="auto" w:sz="6" w:space="0"/>
              <w:right w:val="single" w:color="auto" w:sz="6" w:space="0"/>
            </w:tcBorders>
            <w:shd w:val="clear" w:color="auto" w:fill="auto"/>
            <w:tcMar>
              <w:bottom w:w="0" w:type="dxa"/>
            </w:tcMar>
            <w:vAlign w:val="center"/>
          </w:tcPr>
          <w:p w14:paraId="6BE4313B">
            <w:pPr>
              <w:keepNext w:val="0"/>
              <w:keepLines w:val="0"/>
              <w:widowControl/>
              <w:suppressLineNumbers w:val="0"/>
              <w:jc w:val="left"/>
            </w:pPr>
          </w:p>
          <w:p w14:paraId="6C941F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预算单位</w:t>
            </w:r>
          </w:p>
        </w:tc>
        <w:tc>
          <w:tcPr>
            <w:tcW w:w="7185" w:type="dxa"/>
            <w:gridSpan w:val="3"/>
            <w:tcBorders>
              <w:top w:val="nil"/>
              <w:left w:val="nil"/>
              <w:bottom w:val="single" w:color="auto" w:sz="6" w:space="0"/>
              <w:right w:val="single" w:color="auto" w:sz="6" w:space="0"/>
            </w:tcBorders>
            <w:shd w:val="clear" w:color="auto" w:fill="auto"/>
            <w:tcMar>
              <w:bottom w:w="0" w:type="dxa"/>
            </w:tcMar>
            <w:vAlign w:val="center"/>
          </w:tcPr>
          <w:p w14:paraId="57227F0B">
            <w:pPr>
              <w:keepNext w:val="0"/>
              <w:keepLines w:val="0"/>
              <w:widowControl/>
              <w:suppressLineNumbers w:val="0"/>
              <w:jc w:val="left"/>
            </w:pPr>
          </w:p>
          <w:p w14:paraId="2AA8AE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四川省乐山市沙湾区公共资源交易服务中心</w:t>
            </w:r>
          </w:p>
        </w:tc>
      </w:tr>
      <w:tr w14:paraId="634658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390"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14:paraId="5978A22B">
            <w:pPr>
              <w:keepNext w:val="0"/>
              <w:keepLines w:val="0"/>
              <w:widowControl/>
              <w:suppressLineNumbers w:val="0"/>
              <w:jc w:val="left"/>
            </w:pPr>
          </w:p>
          <w:p w14:paraId="17820F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预算执行情况(万元)</w:t>
            </w:r>
          </w:p>
        </w:tc>
        <w:tc>
          <w:tcPr>
            <w:tcW w:w="2385" w:type="dxa"/>
            <w:gridSpan w:val="2"/>
            <w:tcBorders>
              <w:top w:val="nil"/>
              <w:left w:val="nil"/>
              <w:bottom w:val="single" w:color="auto" w:sz="6" w:space="0"/>
              <w:right w:val="single" w:color="auto" w:sz="6" w:space="0"/>
            </w:tcBorders>
            <w:shd w:val="clear" w:color="auto" w:fill="auto"/>
            <w:tcMar>
              <w:bottom w:w="0" w:type="dxa"/>
            </w:tcMar>
            <w:vAlign w:val="center"/>
          </w:tcPr>
          <w:p w14:paraId="1A5E6D02">
            <w:pPr>
              <w:keepNext w:val="0"/>
              <w:keepLines w:val="0"/>
              <w:widowControl/>
              <w:suppressLineNumbers w:val="0"/>
              <w:jc w:val="left"/>
            </w:pPr>
          </w:p>
          <w:p w14:paraId="667C3F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预算数:</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45FA1CB8">
            <w:pPr>
              <w:keepNext w:val="0"/>
              <w:keepLines w:val="0"/>
              <w:widowControl/>
              <w:suppressLineNumbers w:val="0"/>
              <w:jc w:val="left"/>
            </w:pPr>
          </w:p>
          <w:p w14:paraId="0EC264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15.97</w:t>
            </w:r>
          </w:p>
        </w:tc>
        <w:tc>
          <w:tcPr>
            <w:tcW w:w="2400" w:type="dxa"/>
            <w:tcBorders>
              <w:top w:val="single" w:color="auto" w:sz="6" w:space="0"/>
              <w:left w:val="nil"/>
              <w:bottom w:val="single" w:color="auto" w:sz="6" w:space="0"/>
              <w:right w:val="single" w:color="auto" w:sz="6" w:space="0"/>
            </w:tcBorders>
            <w:shd w:val="clear" w:color="auto" w:fill="auto"/>
            <w:tcMar>
              <w:bottom w:w="0" w:type="dxa"/>
            </w:tcMar>
            <w:vAlign w:val="center"/>
          </w:tcPr>
          <w:p w14:paraId="1AF7345C">
            <w:pPr>
              <w:keepNext w:val="0"/>
              <w:keepLines w:val="0"/>
              <w:widowControl/>
              <w:suppressLineNumbers w:val="0"/>
              <w:jc w:val="left"/>
            </w:pPr>
          </w:p>
          <w:p w14:paraId="45F170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执行数:</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17E7B215">
            <w:pPr>
              <w:keepNext w:val="0"/>
              <w:keepLines w:val="0"/>
              <w:widowControl/>
              <w:suppressLineNumbers w:val="0"/>
              <w:jc w:val="left"/>
            </w:pPr>
          </w:p>
          <w:p w14:paraId="503419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15.97</w:t>
            </w:r>
          </w:p>
        </w:tc>
      </w:tr>
      <w:tr w14:paraId="5885DA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2ACDE6F9">
            <w:pPr>
              <w:rPr>
                <w:rFonts w:hint="eastAsia" w:ascii="宋体"/>
                <w:sz w:val="24"/>
                <w:szCs w:val="24"/>
              </w:rPr>
            </w:pPr>
          </w:p>
        </w:tc>
        <w:tc>
          <w:tcPr>
            <w:tcW w:w="2385" w:type="dxa"/>
            <w:gridSpan w:val="2"/>
            <w:tcBorders>
              <w:top w:val="nil"/>
              <w:left w:val="nil"/>
              <w:bottom w:val="single" w:color="auto" w:sz="6" w:space="0"/>
              <w:right w:val="single" w:color="auto" w:sz="6" w:space="0"/>
            </w:tcBorders>
            <w:shd w:val="clear" w:color="auto" w:fill="auto"/>
            <w:tcMar>
              <w:bottom w:w="0" w:type="dxa"/>
            </w:tcMar>
            <w:vAlign w:val="center"/>
          </w:tcPr>
          <w:p w14:paraId="30DD730A">
            <w:pPr>
              <w:keepNext w:val="0"/>
              <w:keepLines w:val="0"/>
              <w:widowControl/>
              <w:suppressLineNumbers w:val="0"/>
              <w:jc w:val="left"/>
            </w:pPr>
          </w:p>
          <w:p w14:paraId="7766A0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其中-财政拨款:</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2E432E2B">
            <w:pPr>
              <w:keepNext w:val="0"/>
              <w:keepLines w:val="0"/>
              <w:widowControl/>
              <w:suppressLineNumbers w:val="0"/>
              <w:jc w:val="left"/>
            </w:pPr>
          </w:p>
          <w:p w14:paraId="0467DF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15.97</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3C155053">
            <w:pPr>
              <w:keepNext w:val="0"/>
              <w:keepLines w:val="0"/>
              <w:widowControl/>
              <w:suppressLineNumbers w:val="0"/>
              <w:jc w:val="left"/>
            </w:pPr>
          </w:p>
          <w:p w14:paraId="197269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其中-财政拨款:</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0ECF88A7">
            <w:pPr>
              <w:keepNext w:val="0"/>
              <w:keepLines w:val="0"/>
              <w:widowControl/>
              <w:suppressLineNumbers w:val="0"/>
              <w:jc w:val="left"/>
            </w:pPr>
          </w:p>
          <w:p w14:paraId="4D85CC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15.97</w:t>
            </w:r>
          </w:p>
        </w:tc>
      </w:tr>
      <w:tr w14:paraId="1B19BE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1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0840BC97">
            <w:pPr>
              <w:rPr>
                <w:rFonts w:hint="eastAsia" w:ascii="宋体"/>
                <w:sz w:val="24"/>
                <w:szCs w:val="24"/>
              </w:rPr>
            </w:pPr>
          </w:p>
        </w:tc>
        <w:tc>
          <w:tcPr>
            <w:tcW w:w="2385" w:type="dxa"/>
            <w:gridSpan w:val="2"/>
            <w:tcBorders>
              <w:top w:val="nil"/>
              <w:left w:val="nil"/>
              <w:bottom w:val="single" w:color="auto" w:sz="6" w:space="0"/>
              <w:right w:val="single" w:color="auto" w:sz="6" w:space="0"/>
            </w:tcBorders>
            <w:shd w:val="clear" w:color="auto" w:fill="auto"/>
            <w:tcMar>
              <w:bottom w:w="0" w:type="dxa"/>
            </w:tcMar>
            <w:vAlign w:val="center"/>
          </w:tcPr>
          <w:p w14:paraId="60DCA997">
            <w:pPr>
              <w:keepNext w:val="0"/>
              <w:keepLines w:val="0"/>
              <w:widowControl/>
              <w:suppressLineNumbers w:val="0"/>
              <w:jc w:val="left"/>
            </w:pPr>
          </w:p>
          <w:p w14:paraId="01F462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其它资金:</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01F6D4E">
            <w:pPr>
              <w:keepNext w:val="0"/>
              <w:keepLines w:val="0"/>
              <w:widowControl/>
              <w:suppressLineNumbers w:val="0"/>
              <w:jc w:val="left"/>
            </w:pPr>
          </w:p>
          <w:p w14:paraId="6E1C3B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0</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579FF98F">
            <w:pPr>
              <w:keepNext w:val="0"/>
              <w:keepLines w:val="0"/>
              <w:widowControl/>
              <w:suppressLineNumbers w:val="0"/>
              <w:jc w:val="left"/>
            </w:pPr>
          </w:p>
          <w:p w14:paraId="1F4DD3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其它资金:</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02E700C9">
            <w:pPr>
              <w:keepNext w:val="0"/>
              <w:keepLines w:val="0"/>
              <w:widowControl/>
              <w:suppressLineNumbers w:val="0"/>
              <w:jc w:val="left"/>
            </w:pPr>
          </w:p>
          <w:p w14:paraId="1D789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sz w:val="18"/>
                <w:szCs w:val="18"/>
              </w:rPr>
            </w:pPr>
            <w:r>
              <w:rPr>
                <w:rFonts w:hint="eastAsia" w:ascii="宋体" w:hAnsi="宋体" w:eastAsia="宋体" w:cs="宋体"/>
                <w:sz w:val="24"/>
                <w:szCs w:val="24"/>
              </w:rPr>
              <w:t>0</w:t>
            </w:r>
          </w:p>
        </w:tc>
      </w:tr>
      <w:tr w14:paraId="470B08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70" w:hRule="atLeast"/>
        </w:trPr>
        <w:tc>
          <w:tcPr>
            <w:tcW w:w="390"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14:paraId="0D915780">
            <w:pPr>
              <w:keepNext w:val="0"/>
              <w:keepLines w:val="0"/>
              <w:widowControl/>
              <w:suppressLineNumbers w:val="0"/>
              <w:jc w:val="left"/>
            </w:pPr>
          </w:p>
          <w:p w14:paraId="25EBE1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年度目标完成情况</w:t>
            </w:r>
          </w:p>
        </w:tc>
        <w:tc>
          <w:tcPr>
            <w:tcW w:w="4785" w:type="dxa"/>
            <w:gridSpan w:val="3"/>
            <w:tcBorders>
              <w:top w:val="nil"/>
              <w:left w:val="nil"/>
              <w:bottom w:val="single" w:color="auto" w:sz="6" w:space="0"/>
              <w:right w:val="single" w:color="auto" w:sz="6" w:space="0"/>
            </w:tcBorders>
            <w:shd w:val="clear" w:color="auto" w:fill="auto"/>
            <w:tcMar>
              <w:bottom w:w="0" w:type="dxa"/>
            </w:tcMar>
            <w:vAlign w:val="center"/>
          </w:tcPr>
          <w:p w14:paraId="2C759FA5">
            <w:pPr>
              <w:keepNext w:val="0"/>
              <w:keepLines w:val="0"/>
              <w:widowControl/>
              <w:suppressLineNumbers w:val="0"/>
              <w:jc w:val="left"/>
            </w:pPr>
          </w:p>
          <w:p w14:paraId="521F11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预期目标</w:t>
            </w:r>
          </w:p>
        </w:tc>
        <w:tc>
          <w:tcPr>
            <w:tcW w:w="4785" w:type="dxa"/>
            <w:gridSpan w:val="2"/>
            <w:tcBorders>
              <w:top w:val="nil"/>
              <w:left w:val="nil"/>
              <w:bottom w:val="single" w:color="auto" w:sz="6" w:space="0"/>
              <w:right w:val="single" w:color="auto" w:sz="6" w:space="0"/>
            </w:tcBorders>
            <w:shd w:val="clear" w:color="auto" w:fill="auto"/>
            <w:tcMar>
              <w:bottom w:w="0" w:type="dxa"/>
            </w:tcMar>
            <w:vAlign w:val="center"/>
          </w:tcPr>
          <w:p w14:paraId="500E7B5A">
            <w:pPr>
              <w:keepNext w:val="0"/>
              <w:keepLines w:val="0"/>
              <w:widowControl/>
              <w:suppressLineNumbers w:val="0"/>
              <w:jc w:val="left"/>
            </w:pPr>
          </w:p>
          <w:p w14:paraId="6DB3AD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实际完成目标</w:t>
            </w:r>
          </w:p>
        </w:tc>
      </w:tr>
      <w:tr w14:paraId="128334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5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7CC6AD02">
            <w:pPr>
              <w:rPr>
                <w:rFonts w:hint="eastAsia" w:ascii="宋体"/>
                <w:sz w:val="24"/>
                <w:szCs w:val="24"/>
              </w:rPr>
            </w:pPr>
          </w:p>
        </w:tc>
        <w:tc>
          <w:tcPr>
            <w:tcW w:w="4785" w:type="dxa"/>
            <w:gridSpan w:val="3"/>
            <w:tcBorders>
              <w:top w:val="nil"/>
              <w:left w:val="nil"/>
              <w:bottom w:val="single" w:color="auto" w:sz="6" w:space="0"/>
              <w:right w:val="single" w:color="auto" w:sz="6" w:space="0"/>
            </w:tcBorders>
            <w:shd w:val="clear" w:color="auto" w:fill="auto"/>
            <w:tcMar>
              <w:bottom w:w="0" w:type="dxa"/>
            </w:tcMar>
            <w:vAlign w:val="center"/>
          </w:tcPr>
          <w:p w14:paraId="0B64911F">
            <w:pPr>
              <w:keepNext w:val="0"/>
              <w:keepLines w:val="0"/>
              <w:widowControl/>
              <w:suppressLineNumbers w:val="0"/>
              <w:jc w:val="left"/>
            </w:pPr>
          </w:p>
          <w:p w14:paraId="0D120B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完成2020年专家评审工作</w:t>
            </w:r>
          </w:p>
        </w:tc>
        <w:tc>
          <w:tcPr>
            <w:tcW w:w="4785" w:type="dxa"/>
            <w:gridSpan w:val="2"/>
            <w:tcBorders>
              <w:top w:val="nil"/>
              <w:left w:val="nil"/>
              <w:bottom w:val="single" w:color="auto" w:sz="6" w:space="0"/>
              <w:right w:val="single" w:color="auto" w:sz="6" w:space="0"/>
            </w:tcBorders>
            <w:shd w:val="clear" w:color="auto" w:fill="auto"/>
            <w:tcMar>
              <w:bottom w:w="0" w:type="dxa"/>
            </w:tcMar>
            <w:vAlign w:val="center"/>
          </w:tcPr>
          <w:p w14:paraId="6B2B394D">
            <w:pPr>
              <w:keepNext w:val="0"/>
              <w:keepLines w:val="0"/>
              <w:widowControl/>
              <w:suppressLineNumbers w:val="0"/>
              <w:jc w:val="left"/>
            </w:pPr>
          </w:p>
          <w:p w14:paraId="016F9F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完成2020年专家评审工作</w:t>
            </w:r>
          </w:p>
        </w:tc>
      </w:tr>
      <w:tr w14:paraId="0A6F0C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5" w:hRule="atLeast"/>
        </w:trPr>
        <w:tc>
          <w:tcPr>
            <w:tcW w:w="390"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14:paraId="3F191C0E">
            <w:pPr>
              <w:keepNext w:val="0"/>
              <w:keepLines w:val="0"/>
              <w:widowControl/>
              <w:suppressLineNumbers w:val="0"/>
              <w:jc w:val="left"/>
            </w:pPr>
          </w:p>
          <w:p w14:paraId="326F78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绩效指标完成情况</w:t>
            </w: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3E6B2E4B">
            <w:pPr>
              <w:keepNext w:val="0"/>
              <w:keepLines w:val="0"/>
              <w:widowControl/>
              <w:suppressLineNumbers w:val="0"/>
              <w:jc w:val="left"/>
            </w:pPr>
          </w:p>
          <w:p w14:paraId="4BD0F2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一级指标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04CB4234">
            <w:pPr>
              <w:keepNext w:val="0"/>
              <w:keepLines w:val="0"/>
              <w:widowControl/>
              <w:suppressLineNumbers w:val="0"/>
              <w:jc w:val="left"/>
            </w:pPr>
          </w:p>
          <w:p w14:paraId="759739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二级指标</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4250BC4F">
            <w:pPr>
              <w:keepNext w:val="0"/>
              <w:keepLines w:val="0"/>
              <w:widowControl/>
              <w:suppressLineNumbers w:val="0"/>
              <w:jc w:val="left"/>
            </w:pPr>
          </w:p>
          <w:p w14:paraId="73E671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三级指标</w:t>
            </w:r>
          </w:p>
        </w:tc>
        <w:tc>
          <w:tcPr>
            <w:tcW w:w="2400" w:type="dxa"/>
            <w:tcBorders>
              <w:top w:val="single" w:color="auto" w:sz="6" w:space="0"/>
              <w:left w:val="nil"/>
              <w:bottom w:val="single" w:color="auto" w:sz="6" w:space="0"/>
              <w:right w:val="single" w:color="auto" w:sz="6" w:space="0"/>
            </w:tcBorders>
            <w:shd w:val="clear" w:color="auto" w:fill="auto"/>
            <w:tcMar>
              <w:bottom w:w="0" w:type="dxa"/>
            </w:tcMar>
            <w:vAlign w:val="center"/>
          </w:tcPr>
          <w:p w14:paraId="0878BACA">
            <w:pPr>
              <w:keepNext w:val="0"/>
              <w:keepLines w:val="0"/>
              <w:widowControl/>
              <w:suppressLineNumbers w:val="0"/>
              <w:jc w:val="left"/>
            </w:pPr>
          </w:p>
          <w:p w14:paraId="3DAD8C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预期指标值(包含数字及文字描述)</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502572EB">
            <w:pPr>
              <w:keepNext w:val="0"/>
              <w:keepLines w:val="0"/>
              <w:widowControl/>
              <w:suppressLineNumbers w:val="0"/>
              <w:jc w:val="left"/>
            </w:pPr>
          </w:p>
          <w:p w14:paraId="617779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实际完成指标值(包含数字及文字描述)</w:t>
            </w:r>
          </w:p>
        </w:tc>
      </w:tr>
      <w:tr w14:paraId="28DF6BB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6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0127874D">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6C96E8DD">
            <w:pPr>
              <w:keepNext w:val="0"/>
              <w:keepLines w:val="0"/>
              <w:widowControl/>
              <w:suppressLineNumbers w:val="0"/>
              <w:jc w:val="left"/>
            </w:pPr>
          </w:p>
          <w:p w14:paraId="33F0BD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40C8FDA5">
            <w:pPr>
              <w:keepNext w:val="0"/>
              <w:keepLines w:val="0"/>
              <w:widowControl/>
              <w:suppressLineNumbers w:val="0"/>
              <w:jc w:val="left"/>
            </w:pPr>
          </w:p>
          <w:p w14:paraId="435DED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数量指标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71607262">
            <w:pPr>
              <w:keepNext w:val="0"/>
              <w:keepLines w:val="0"/>
              <w:widowControl/>
              <w:suppressLineNumbers w:val="0"/>
              <w:jc w:val="left"/>
            </w:pPr>
          </w:p>
          <w:p w14:paraId="021002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04A90C31">
            <w:pPr>
              <w:keepNext w:val="0"/>
              <w:keepLines w:val="0"/>
              <w:widowControl/>
              <w:suppressLineNumbers w:val="0"/>
              <w:jc w:val="left"/>
            </w:pPr>
          </w:p>
          <w:p w14:paraId="5FAE31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0D9B6206">
            <w:pPr>
              <w:keepNext w:val="0"/>
              <w:keepLines w:val="0"/>
              <w:widowControl/>
              <w:suppressLineNumbers w:val="0"/>
              <w:jc w:val="left"/>
            </w:pPr>
          </w:p>
          <w:p w14:paraId="07A8E8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r>
      <w:tr w14:paraId="77718C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9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2E91D777">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46A830A0">
            <w:pPr>
              <w:keepNext w:val="0"/>
              <w:keepLines w:val="0"/>
              <w:widowControl/>
              <w:suppressLineNumbers w:val="0"/>
              <w:jc w:val="left"/>
            </w:pPr>
          </w:p>
          <w:p w14:paraId="1D1C62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623A0B02">
            <w:pPr>
              <w:keepNext w:val="0"/>
              <w:keepLines w:val="0"/>
              <w:widowControl/>
              <w:suppressLineNumbers w:val="0"/>
              <w:jc w:val="left"/>
            </w:pPr>
          </w:p>
          <w:p w14:paraId="1C0054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质量指标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44D74E55">
            <w:pPr>
              <w:keepNext w:val="0"/>
              <w:keepLines w:val="0"/>
              <w:widowControl/>
              <w:suppressLineNumbers w:val="0"/>
              <w:jc w:val="left"/>
            </w:pPr>
          </w:p>
          <w:p w14:paraId="15B41E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2DC4E1A8">
            <w:pPr>
              <w:keepNext w:val="0"/>
              <w:keepLines w:val="0"/>
              <w:widowControl/>
              <w:suppressLineNumbers w:val="0"/>
              <w:jc w:val="left"/>
            </w:pPr>
          </w:p>
          <w:p w14:paraId="0E5114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32F2203D">
            <w:pPr>
              <w:keepNext w:val="0"/>
              <w:keepLines w:val="0"/>
              <w:widowControl/>
              <w:suppressLineNumbers w:val="0"/>
              <w:jc w:val="left"/>
            </w:pPr>
          </w:p>
          <w:p w14:paraId="0C1A45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r>
      <w:tr w14:paraId="69D384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56EA9096">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4277B398">
            <w:pPr>
              <w:keepNext w:val="0"/>
              <w:keepLines w:val="0"/>
              <w:widowControl/>
              <w:suppressLineNumbers w:val="0"/>
              <w:jc w:val="left"/>
            </w:pPr>
          </w:p>
          <w:p w14:paraId="5C3489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2413281B">
            <w:pPr>
              <w:keepNext w:val="0"/>
              <w:keepLines w:val="0"/>
              <w:widowControl/>
              <w:suppressLineNumbers w:val="0"/>
              <w:jc w:val="left"/>
            </w:pPr>
          </w:p>
          <w:p w14:paraId="1608EC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时效指标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52FC44B0">
            <w:pPr>
              <w:keepNext w:val="0"/>
              <w:keepLines w:val="0"/>
              <w:widowControl/>
              <w:suppressLineNumbers w:val="0"/>
              <w:jc w:val="left"/>
            </w:pPr>
          </w:p>
          <w:p w14:paraId="73F98D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指标1：完成时间</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7C532F59">
            <w:pPr>
              <w:keepNext w:val="0"/>
              <w:keepLines w:val="0"/>
              <w:widowControl/>
              <w:suppressLineNumbers w:val="0"/>
              <w:jc w:val="left"/>
            </w:pPr>
          </w:p>
          <w:p w14:paraId="462383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2020年底</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490ADF26">
            <w:pPr>
              <w:keepNext w:val="0"/>
              <w:keepLines w:val="0"/>
              <w:widowControl/>
              <w:suppressLineNumbers w:val="0"/>
              <w:jc w:val="left"/>
            </w:pPr>
          </w:p>
          <w:p w14:paraId="73B9F2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2020年底</w:t>
            </w:r>
          </w:p>
        </w:tc>
      </w:tr>
      <w:tr w14:paraId="10831B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578848A6">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02F271AD">
            <w:pPr>
              <w:keepNext w:val="0"/>
              <w:keepLines w:val="0"/>
              <w:widowControl/>
              <w:suppressLineNumbers w:val="0"/>
              <w:jc w:val="left"/>
            </w:pPr>
          </w:p>
          <w:p w14:paraId="1CE1D5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43129CA3">
            <w:pPr>
              <w:keepNext w:val="0"/>
              <w:keepLines w:val="0"/>
              <w:widowControl/>
              <w:suppressLineNumbers w:val="0"/>
              <w:jc w:val="left"/>
            </w:pPr>
          </w:p>
          <w:p w14:paraId="104513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成本指标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1ADBDDA">
            <w:pPr>
              <w:keepNext w:val="0"/>
              <w:keepLines w:val="0"/>
              <w:widowControl/>
              <w:suppressLineNumbers w:val="0"/>
              <w:jc w:val="left"/>
            </w:pPr>
          </w:p>
          <w:p w14:paraId="4C9065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指标1：经费</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73D49848">
            <w:pPr>
              <w:keepNext w:val="0"/>
              <w:keepLines w:val="0"/>
              <w:widowControl/>
              <w:suppressLineNumbers w:val="0"/>
              <w:jc w:val="left"/>
            </w:pPr>
          </w:p>
          <w:p w14:paraId="6F7EC5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经费159,743.00元</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5031E718">
            <w:pPr>
              <w:keepNext w:val="0"/>
              <w:keepLines w:val="0"/>
              <w:widowControl/>
              <w:suppressLineNumbers w:val="0"/>
              <w:jc w:val="left"/>
            </w:pPr>
          </w:p>
          <w:p w14:paraId="587E5E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经费159,743.00元</w:t>
            </w:r>
          </w:p>
        </w:tc>
      </w:tr>
      <w:tr w14:paraId="4F9919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5E136D76">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739C6DD1">
            <w:pPr>
              <w:keepNext w:val="0"/>
              <w:keepLines w:val="0"/>
              <w:widowControl/>
              <w:suppressLineNumbers w:val="0"/>
              <w:jc w:val="left"/>
            </w:pPr>
          </w:p>
          <w:p w14:paraId="6DAFD5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效益指标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10892F17">
            <w:pPr>
              <w:keepNext w:val="0"/>
              <w:keepLines w:val="0"/>
              <w:widowControl/>
              <w:suppressLineNumbers w:val="0"/>
              <w:jc w:val="left"/>
            </w:pPr>
          </w:p>
          <w:p w14:paraId="77722C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社会效益</w:t>
            </w:r>
          </w:p>
          <w:p w14:paraId="6D8A207D">
            <w:pPr>
              <w:keepNext w:val="0"/>
              <w:keepLines w:val="0"/>
              <w:widowControl/>
              <w:suppressLineNumbers w:val="0"/>
              <w:jc w:val="left"/>
            </w:pPr>
          </w:p>
          <w:p w14:paraId="491A06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71C8E603">
            <w:pPr>
              <w:keepNext w:val="0"/>
              <w:keepLines w:val="0"/>
              <w:widowControl/>
              <w:suppressLineNumbers w:val="0"/>
              <w:jc w:val="left"/>
            </w:pPr>
          </w:p>
          <w:p w14:paraId="41F469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指标1：2020年专家评审工作</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05E11A89">
            <w:pPr>
              <w:keepNext w:val="0"/>
              <w:keepLines w:val="0"/>
              <w:widowControl/>
              <w:suppressLineNumbers w:val="0"/>
              <w:jc w:val="left"/>
            </w:pPr>
          </w:p>
          <w:p w14:paraId="1F9CA9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完成2020年专家评审工作</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50DF89AC">
            <w:pPr>
              <w:keepNext w:val="0"/>
              <w:keepLines w:val="0"/>
              <w:widowControl/>
              <w:suppressLineNumbers w:val="0"/>
              <w:jc w:val="left"/>
            </w:pPr>
          </w:p>
          <w:p w14:paraId="2741DD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完成2020年专家评审工作</w:t>
            </w:r>
          </w:p>
        </w:tc>
      </w:tr>
      <w:tr w14:paraId="32ABCD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9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38533D5B">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1A1A171D">
            <w:pPr>
              <w:keepNext w:val="0"/>
              <w:keepLines w:val="0"/>
              <w:widowControl/>
              <w:suppressLineNumbers w:val="0"/>
              <w:jc w:val="left"/>
            </w:pPr>
          </w:p>
          <w:p w14:paraId="4014C5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效益指标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38F7E48D">
            <w:pPr>
              <w:keepNext w:val="0"/>
              <w:keepLines w:val="0"/>
              <w:widowControl/>
              <w:suppressLineNumbers w:val="0"/>
              <w:jc w:val="left"/>
            </w:pPr>
          </w:p>
          <w:p w14:paraId="588941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生态效益</w:t>
            </w:r>
          </w:p>
          <w:p w14:paraId="58446533">
            <w:pPr>
              <w:keepNext w:val="0"/>
              <w:keepLines w:val="0"/>
              <w:widowControl/>
              <w:suppressLineNumbers w:val="0"/>
              <w:jc w:val="left"/>
            </w:pPr>
          </w:p>
          <w:p w14:paraId="3F64B6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A56B23B">
            <w:pPr>
              <w:keepNext w:val="0"/>
              <w:keepLines w:val="0"/>
              <w:widowControl/>
              <w:suppressLineNumbers w:val="0"/>
              <w:jc w:val="left"/>
            </w:pPr>
          </w:p>
          <w:p w14:paraId="63B120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60CED7CE">
            <w:pPr>
              <w:keepNext w:val="0"/>
              <w:keepLines w:val="0"/>
              <w:widowControl/>
              <w:suppressLineNumbers w:val="0"/>
              <w:jc w:val="left"/>
            </w:pP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145059F">
            <w:pPr>
              <w:keepNext w:val="0"/>
              <w:keepLines w:val="0"/>
              <w:widowControl/>
              <w:suppressLineNumbers w:val="0"/>
              <w:jc w:val="left"/>
            </w:pPr>
          </w:p>
        </w:tc>
      </w:tr>
      <w:tr w14:paraId="2AEBBC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9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3E6CDBA9">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29AA0BE5">
            <w:pPr>
              <w:keepNext w:val="0"/>
              <w:keepLines w:val="0"/>
              <w:widowControl/>
              <w:suppressLineNumbers w:val="0"/>
              <w:jc w:val="left"/>
            </w:pPr>
          </w:p>
          <w:p w14:paraId="317D0F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效益指标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6C63806E">
            <w:pPr>
              <w:keepNext w:val="0"/>
              <w:keepLines w:val="0"/>
              <w:widowControl/>
              <w:suppressLineNumbers w:val="0"/>
              <w:jc w:val="left"/>
            </w:pPr>
          </w:p>
          <w:p w14:paraId="6C378B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可持续影响</w:t>
            </w:r>
          </w:p>
          <w:p w14:paraId="4ACB01FC">
            <w:pPr>
              <w:keepNext w:val="0"/>
              <w:keepLines w:val="0"/>
              <w:widowControl/>
              <w:suppressLineNumbers w:val="0"/>
              <w:jc w:val="left"/>
            </w:pPr>
          </w:p>
          <w:p w14:paraId="4FBFE9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D8FD29B">
            <w:pPr>
              <w:keepNext w:val="0"/>
              <w:keepLines w:val="0"/>
              <w:widowControl/>
              <w:suppressLineNumbers w:val="0"/>
              <w:jc w:val="left"/>
            </w:pPr>
          </w:p>
          <w:p w14:paraId="0382C5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5808BC91">
            <w:pPr>
              <w:keepNext w:val="0"/>
              <w:keepLines w:val="0"/>
              <w:widowControl/>
              <w:suppressLineNumbers w:val="0"/>
              <w:jc w:val="left"/>
            </w:pP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6DAF8698">
            <w:pPr>
              <w:keepNext w:val="0"/>
              <w:keepLines w:val="0"/>
              <w:widowControl/>
              <w:suppressLineNumbers w:val="0"/>
              <w:jc w:val="left"/>
            </w:pPr>
          </w:p>
        </w:tc>
      </w:tr>
      <w:tr w14:paraId="717367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5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5E230FC7">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6D7978D8">
            <w:pPr>
              <w:keepNext w:val="0"/>
              <w:keepLines w:val="0"/>
              <w:widowControl/>
              <w:suppressLineNumbers w:val="0"/>
              <w:jc w:val="left"/>
            </w:pPr>
          </w:p>
          <w:p w14:paraId="24F7B2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满意度指标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3520A82A">
            <w:pPr>
              <w:keepNext w:val="0"/>
              <w:keepLines w:val="0"/>
              <w:widowControl/>
              <w:suppressLineNumbers w:val="0"/>
              <w:jc w:val="left"/>
            </w:pPr>
          </w:p>
          <w:p w14:paraId="2EC5E6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满意度指标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9D008DF">
            <w:pPr>
              <w:keepNext w:val="0"/>
              <w:keepLines w:val="0"/>
              <w:widowControl/>
              <w:suppressLineNumbers w:val="0"/>
              <w:jc w:val="left"/>
            </w:pPr>
          </w:p>
          <w:p w14:paraId="163D3C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指标1：上级主管部门满意</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44256DC3">
            <w:pPr>
              <w:keepNext w:val="0"/>
              <w:keepLines w:val="0"/>
              <w:widowControl/>
              <w:suppressLineNumbers w:val="0"/>
              <w:jc w:val="left"/>
            </w:pPr>
          </w:p>
          <w:p w14:paraId="5E9A37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上级主管部门满意</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A996703">
            <w:pPr>
              <w:keepNext w:val="0"/>
              <w:keepLines w:val="0"/>
              <w:widowControl/>
              <w:suppressLineNumbers w:val="0"/>
              <w:jc w:val="left"/>
            </w:pPr>
          </w:p>
          <w:p w14:paraId="103B43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上级主管部门满意</w:t>
            </w:r>
          </w:p>
        </w:tc>
      </w:tr>
      <w:tr w14:paraId="7B03BD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5" w:hRule="atLeast"/>
        </w:trPr>
        <w:tc>
          <w:tcPr>
            <w:tcW w:w="9960" w:type="dxa"/>
            <w:gridSpan w:val="6"/>
            <w:tcBorders>
              <w:top w:val="nil"/>
              <w:left w:val="single" w:color="auto" w:sz="6" w:space="0"/>
              <w:bottom w:val="single" w:color="auto" w:sz="6" w:space="0"/>
              <w:right w:val="single" w:color="auto" w:sz="6" w:space="0"/>
            </w:tcBorders>
            <w:shd w:val="clear" w:color="auto" w:fill="auto"/>
            <w:tcMar>
              <w:bottom w:w="0" w:type="dxa"/>
            </w:tcMar>
            <w:vAlign w:val="center"/>
          </w:tcPr>
          <w:p w14:paraId="21D19D81">
            <w:pPr>
              <w:keepNext w:val="0"/>
              <w:keepLines w:val="0"/>
              <w:widowControl/>
              <w:suppressLineNumbers w:val="0"/>
              <w:jc w:val="left"/>
            </w:pPr>
          </w:p>
          <w:p w14:paraId="187D8F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5"/>
                <w:rFonts w:hint="eastAsia" w:ascii="宋体" w:hAnsi="宋体" w:eastAsia="宋体" w:cs="宋体"/>
                <w:sz w:val="36"/>
                <w:szCs w:val="36"/>
              </w:rPr>
              <w:t>   项目绩效目标完成情况表</w:t>
            </w:r>
            <w:r>
              <w:rPr>
                <w:rFonts w:hint="eastAsia" w:ascii="宋体" w:hAnsi="宋体" w:eastAsia="宋体" w:cs="宋体"/>
                <w:sz w:val="36"/>
                <w:szCs w:val="36"/>
              </w:rPr>
              <w:t>(2020年度)</w:t>
            </w:r>
          </w:p>
        </w:tc>
      </w:tr>
      <w:tr w14:paraId="6FDBC6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30" w:hRule="atLeast"/>
        </w:trPr>
        <w:tc>
          <w:tcPr>
            <w:tcW w:w="2775" w:type="dxa"/>
            <w:gridSpan w:val="3"/>
            <w:tcBorders>
              <w:top w:val="nil"/>
              <w:left w:val="single" w:color="auto" w:sz="6" w:space="0"/>
              <w:bottom w:val="single" w:color="auto" w:sz="6" w:space="0"/>
              <w:right w:val="single" w:color="auto" w:sz="6" w:space="0"/>
            </w:tcBorders>
            <w:shd w:val="clear" w:color="auto" w:fill="auto"/>
            <w:tcMar>
              <w:bottom w:w="0" w:type="dxa"/>
            </w:tcMar>
            <w:vAlign w:val="center"/>
          </w:tcPr>
          <w:p w14:paraId="2D0DFDCF">
            <w:pPr>
              <w:keepNext w:val="0"/>
              <w:keepLines w:val="0"/>
              <w:widowControl/>
              <w:suppressLineNumbers w:val="0"/>
              <w:jc w:val="left"/>
            </w:pPr>
          </w:p>
          <w:p w14:paraId="513F6E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项目名称</w:t>
            </w:r>
          </w:p>
        </w:tc>
        <w:tc>
          <w:tcPr>
            <w:tcW w:w="7185" w:type="dxa"/>
            <w:gridSpan w:val="3"/>
            <w:tcBorders>
              <w:top w:val="single" w:color="auto" w:sz="6" w:space="0"/>
              <w:left w:val="nil"/>
              <w:bottom w:val="single" w:color="auto" w:sz="6" w:space="0"/>
              <w:right w:val="single" w:color="auto" w:sz="6" w:space="0"/>
            </w:tcBorders>
            <w:shd w:val="clear" w:color="auto" w:fill="auto"/>
            <w:tcMar>
              <w:bottom w:w="0" w:type="dxa"/>
            </w:tcMar>
            <w:vAlign w:val="center"/>
          </w:tcPr>
          <w:p w14:paraId="7D2A0401">
            <w:pPr>
              <w:keepNext w:val="0"/>
              <w:keepLines w:val="0"/>
              <w:widowControl/>
              <w:suppressLineNumbers w:val="0"/>
              <w:jc w:val="left"/>
            </w:pPr>
          </w:p>
          <w:p w14:paraId="76A55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办公楼维修费</w:t>
            </w:r>
          </w:p>
        </w:tc>
      </w:tr>
      <w:tr w14:paraId="5ACE81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trPr>
        <w:tc>
          <w:tcPr>
            <w:tcW w:w="2775" w:type="dxa"/>
            <w:gridSpan w:val="3"/>
            <w:tcBorders>
              <w:top w:val="nil"/>
              <w:left w:val="single" w:color="auto" w:sz="6" w:space="0"/>
              <w:bottom w:val="single" w:color="auto" w:sz="6" w:space="0"/>
              <w:right w:val="single" w:color="auto" w:sz="6" w:space="0"/>
            </w:tcBorders>
            <w:shd w:val="clear" w:color="auto" w:fill="auto"/>
            <w:tcMar>
              <w:bottom w:w="0" w:type="dxa"/>
            </w:tcMar>
            <w:vAlign w:val="center"/>
          </w:tcPr>
          <w:p w14:paraId="7DBC87A6">
            <w:pPr>
              <w:keepNext w:val="0"/>
              <w:keepLines w:val="0"/>
              <w:widowControl/>
              <w:suppressLineNumbers w:val="0"/>
              <w:jc w:val="left"/>
            </w:pPr>
          </w:p>
          <w:p w14:paraId="7A9D2E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预算单位</w:t>
            </w:r>
          </w:p>
        </w:tc>
        <w:tc>
          <w:tcPr>
            <w:tcW w:w="7185" w:type="dxa"/>
            <w:gridSpan w:val="3"/>
            <w:tcBorders>
              <w:top w:val="nil"/>
              <w:left w:val="nil"/>
              <w:bottom w:val="single" w:color="auto" w:sz="6" w:space="0"/>
              <w:right w:val="single" w:color="auto" w:sz="6" w:space="0"/>
            </w:tcBorders>
            <w:shd w:val="clear" w:color="auto" w:fill="auto"/>
            <w:tcMar>
              <w:bottom w:w="0" w:type="dxa"/>
            </w:tcMar>
            <w:vAlign w:val="center"/>
          </w:tcPr>
          <w:p w14:paraId="1E454173">
            <w:pPr>
              <w:keepNext w:val="0"/>
              <w:keepLines w:val="0"/>
              <w:widowControl/>
              <w:suppressLineNumbers w:val="0"/>
              <w:jc w:val="left"/>
            </w:pPr>
          </w:p>
          <w:p w14:paraId="762AD8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四川省乐山市沙湾区公共资源交易服务中心</w:t>
            </w:r>
          </w:p>
        </w:tc>
      </w:tr>
      <w:tr w14:paraId="232E7A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0" w:hRule="atLeast"/>
        </w:trPr>
        <w:tc>
          <w:tcPr>
            <w:tcW w:w="390"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14:paraId="44020088">
            <w:pPr>
              <w:keepNext w:val="0"/>
              <w:keepLines w:val="0"/>
              <w:widowControl/>
              <w:suppressLineNumbers w:val="0"/>
              <w:jc w:val="left"/>
            </w:pPr>
          </w:p>
          <w:p w14:paraId="7BB815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预算执行情况(万元)</w:t>
            </w:r>
          </w:p>
        </w:tc>
        <w:tc>
          <w:tcPr>
            <w:tcW w:w="2385" w:type="dxa"/>
            <w:gridSpan w:val="2"/>
            <w:tcBorders>
              <w:top w:val="nil"/>
              <w:left w:val="nil"/>
              <w:bottom w:val="single" w:color="auto" w:sz="6" w:space="0"/>
              <w:right w:val="single" w:color="auto" w:sz="6" w:space="0"/>
            </w:tcBorders>
            <w:shd w:val="clear" w:color="auto" w:fill="auto"/>
            <w:tcMar>
              <w:bottom w:w="0" w:type="dxa"/>
            </w:tcMar>
            <w:vAlign w:val="center"/>
          </w:tcPr>
          <w:p w14:paraId="3D7ADAE6">
            <w:pPr>
              <w:keepNext w:val="0"/>
              <w:keepLines w:val="0"/>
              <w:widowControl/>
              <w:suppressLineNumbers w:val="0"/>
              <w:jc w:val="left"/>
            </w:pPr>
          </w:p>
          <w:p w14:paraId="2AEDDC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预算数:</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28F7A426">
            <w:pPr>
              <w:keepNext w:val="0"/>
              <w:keepLines w:val="0"/>
              <w:widowControl/>
              <w:suppressLineNumbers w:val="0"/>
              <w:jc w:val="left"/>
            </w:pPr>
          </w:p>
          <w:p w14:paraId="77CBE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52.11</w:t>
            </w:r>
          </w:p>
        </w:tc>
        <w:tc>
          <w:tcPr>
            <w:tcW w:w="2400" w:type="dxa"/>
            <w:tcBorders>
              <w:top w:val="single" w:color="auto" w:sz="6" w:space="0"/>
              <w:left w:val="nil"/>
              <w:bottom w:val="single" w:color="auto" w:sz="6" w:space="0"/>
              <w:right w:val="single" w:color="auto" w:sz="6" w:space="0"/>
            </w:tcBorders>
            <w:shd w:val="clear" w:color="auto" w:fill="auto"/>
            <w:tcMar>
              <w:bottom w:w="0" w:type="dxa"/>
            </w:tcMar>
            <w:vAlign w:val="center"/>
          </w:tcPr>
          <w:p w14:paraId="015DD99D">
            <w:pPr>
              <w:keepNext w:val="0"/>
              <w:keepLines w:val="0"/>
              <w:widowControl/>
              <w:suppressLineNumbers w:val="0"/>
              <w:jc w:val="left"/>
            </w:pPr>
          </w:p>
          <w:p w14:paraId="08B0B7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执行数:</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4E0A2CE5">
            <w:pPr>
              <w:keepNext w:val="0"/>
              <w:keepLines w:val="0"/>
              <w:widowControl/>
              <w:suppressLineNumbers w:val="0"/>
              <w:jc w:val="left"/>
            </w:pPr>
          </w:p>
          <w:p w14:paraId="3BC5C4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52.11</w:t>
            </w:r>
          </w:p>
        </w:tc>
      </w:tr>
      <w:tr w14:paraId="342276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656BB44F">
            <w:pPr>
              <w:rPr>
                <w:rFonts w:hint="eastAsia" w:ascii="宋体"/>
                <w:sz w:val="24"/>
                <w:szCs w:val="24"/>
              </w:rPr>
            </w:pPr>
          </w:p>
        </w:tc>
        <w:tc>
          <w:tcPr>
            <w:tcW w:w="2385" w:type="dxa"/>
            <w:gridSpan w:val="2"/>
            <w:tcBorders>
              <w:top w:val="nil"/>
              <w:left w:val="nil"/>
              <w:bottom w:val="single" w:color="auto" w:sz="6" w:space="0"/>
              <w:right w:val="single" w:color="auto" w:sz="6" w:space="0"/>
            </w:tcBorders>
            <w:shd w:val="clear" w:color="auto" w:fill="auto"/>
            <w:tcMar>
              <w:bottom w:w="0" w:type="dxa"/>
            </w:tcMar>
            <w:vAlign w:val="center"/>
          </w:tcPr>
          <w:p w14:paraId="36BF8CF3">
            <w:pPr>
              <w:keepNext w:val="0"/>
              <w:keepLines w:val="0"/>
              <w:widowControl/>
              <w:suppressLineNumbers w:val="0"/>
              <w:jc w:val="left"/>
            </w:pPr>
          </w:p>
          <w:p w14:paraId="129B5B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其中-财政拨款:</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34F612A8">
            <w:pPr>
              <w:keepNext w:val="0"/>
              <w:keepLines w:val="0"/>
              <w:widowControl/>
              <w:suppressLineNumbers w:val="0"/>
              <w:jc w:val="left"/>
            </w:pPr>
          </w:p>
          <w:p w14:paraId="2734F6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52.11</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2A464816">
            <w:pPr>
              <w:keepNext w:val="0"/>
              <w:keepLines w:val="0"/>
              <w:widowControl/>
              <w:suppressLineNumbers w:val="0"/>
              <w:jc w:val="left"/>
            </w:pPr>
          </w:p>
          <w:p w14:paraId="1CB2B0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其中-财政拨款:</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0FC14856">
            <w:pPr>
              <w:keepNext w:val="0"/>
              <w:keepLines w:val="0"/>
              <w:widowControl/>
              <w:suppressLineNumbers w:val="0"/>
              <w:jc w:val="left"/>
            </w:pPr>
          </w:p>
          <w:p w14:paraId="0A0980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52.11</w:t>
            </w:r>
          </w:p>
        </w:tc>
      </w:tr>
      <w:tr w14:paraId="69A4BC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51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2B49835A">
            <w:pPr>
              <w:rPr>
                <w:rFonts w:hint="eastAsia" w:ascii="宋体"/>
                <w:sz w:val="24"/>
                <w:szCs w:val="24"/>
              </w:rPr>
            </w:pPr>
          </w:p>
        </w:tc>
        <w:tc>
          <w:tcPr>
            <w:tcW w:w="2385" w:type="dxa"/>
            <w:gridSpan w:val="2"/>
            <w:tcBorders>
              <w:top w:val="nil"/>
              <w:left w:val="nil"/>
              <w:bottom w:val="single" w:color="auto" w:sz="6" w:space="0"/>
              <w:right w:val="single" w:color="auto" w:sz="6" w:space="0"/>
            </w:tcBorders>
            <w:shd w:val="clear" w:color="auto" w:fill="auto"/>
            <w:tcMar>
              <w:bottom w:w="0" w:type="dxa"/>
            </w:tcMar>
            <w:vAlign w:val="center"/>
          </w:tcPr>
          <w:p w14:paraId="592CB261">
            <w:pPr>
              <w:keepNext w:val="0"/>
              <w:keepLines w:val="0"/>
              <w:widowControl/>
              <w:suppressLineNumbers w:val="0"/>
              <w:jc w:val="left"/>
            </w:pPr>
          </w:p>
          <w:p w14:paraId="3F9138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其它资金:</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6441F522">
            <w:pPr>
              <w:keepNext w:val="0"/>
              <w:keepLines w:val="0"/>
              <w:widowControl/>
              <w:suppressLineNumbers w:val="0"/>
              <w:jc w:val="left"/>
            </w:pPr>
          </w:p>
          <w:p w14:paraId="2AB93F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0</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5375C1D2">
            <w:pPr>
              <w:keepNext w:val="0"/>
              <w:keepLines w:val="0"/>
              <w:widowControl/>
              <w:suppressLineNumbers w:val="0"/>
              <w:jc w:val="left"/>
            </w:pPr>
          </w:p>
          <w:p w14:paraId="3D0E63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其它资金:</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29E06BFD">
            <w:pPr>
              <w:keepNext w:val="0"/>
              <w:keepLines w:val="0"/>
              <w:widowControl/>
              <w:suppressLineNumbers w:val="0"/>
              <w:jc w:val="left"/>
            </w:pPr>
          </w:p>
          <w:p w14:paraId="581A8C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rPr>
                <w:sz w:val="18"/>
                <w:szCs w:val="18"/>
              </w:rPr>
            </w:pPr>
            <w:r>
              <w:rPr>
                <w:rFonts w:hint="eastAsia" w:ascii="宋体" w:hAnsi="宋体" w:eastAsia="宋体" w:cs="宋体"/>
                <w:sz w:val="24"/>
                <w:szCs w:val="24"/>
              </w:rPr>
              <w:t>0</w:t>
            </w:r>
          </w:p>
        </w:tc>
      </w:tr>
      <w:tr w14:paraId="247F6B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70" w:hRule="atLeast"/>
        </w:trPr>
        <w:tc>
          <w:tcPr>
            <w:tcW w:w="390"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14:paraId="62B88B92">
            <w:pPr>
              <w:keepNext w:val="0"/>
              <w:keepLines w:val="0"/>
              <w:widowControl/>
              <w:suppressLineNumbers w:val="0"/>
              <w:jc w:val="left"/>
            </w:pPr>
          </w:p>
          <w:p w14:paraId="4CDB7A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年度目标完成情况</w:t>
            </w:r>
          </w:p>
        </w:tc>
        <w:tc>
          <w:tcPr>
            <w:tcW w:w="4785" w:type="dxa"/>
            <w:gridSpan w:val="3"/>
            <w:tcBorders>
              <w:top w:val="nil"/>
              <w:left w:val="nil"/>
              <w:bottom w:val="single" w:color="auto" w:sz="6" w:space="0"/>
              <w:right w:val="single" w:color="auto" w:sz="6" w:space="0"/>
            </w:tcBorders>
            <w:shd w:val="clear" w:color="auto" w:fill="auto"/>
            <w:tcMar>
              <w:bottom w:w="0" w:type="dxa"/>
            </w:tcMar>
            <w:vAlign w:val="center"/>
          </w:tcPr>
          <w:p w14:paraId="5F69A5DD">
            <w:pPr>
              <w:keepNext w:val="0"/>
              <w:keepLines w:val="0"/>
              <w:widowControl/>
              <w:suppressLineNumbers w:val="0"/>
              <w:jc w:val="left"/>
            </w:pPr>
          </w:p>
          <w:p w14:paraId="173C32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预期目标</w:t>
            </w:r>
          </w:p>
        </w:tc>
        <w:tc>
          <w:tcPr>
            <w:tcW w:w="4785" w:type="dxa"/>
            <w:gridSpan w:val="2"/>
            <w:tcBorders>
              <w:top w:val="nil"/>
              <w:left w:val="nil"/>
              <w:bottom w:val="single" w:color="auto" w:sz="6" w:space="0"/>
              <w:right w:val="single" w:color="auto" w:sz="6" w:space="0"/>
            </w:tcBorders>
            <w:shd w:val="clear" w:color="auto" w:fill="auto"/>
            <w:tcMar>
              <w:bottom w:w="0" w:type="dxa"/>
            </w:tcMar>
            <w:vAlign w:val="center"/>
          </w:tcPr>
          <w:p w14:paraId="147860B1">
            <w:pPr>
              <w:keepNext w:val="0"/>
              <w:keepLines w:val="0"/>
              <w:widowControl/>
              <w:suppressLineNumbers w:val="0"/>
              <w:jc w:val="left"/>
            </w:pPr>
          </w:p>
          <w:p w14:paraId="043DF9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实际完成目标</w:t>
            </w:r>
          </w:p>
        </w:tc>
      </w:tr>
      <w:tr w14:paraId="6D7973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5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21296A6A">
            <w:pPr>
              <w:rPr>
                <w:rFonts w:hint="eastAsia" w:ascii="宋体"/>
                <w:sz w:val="24"/>
                <w:szCs w:val="24"/>
              </w:rPr>
            </w:pPr>
          </w:p>
        </w:tc>
        <w:tc>
          <w:tcPr>
            <w:tcW w:w="4785" w:type="dxa"/>
            <w:gridSpan w:val="3"/>
            <w:tcBorders>
              <w:top w:val="nil"/>
              <w:left w:val="nil"/>
              <w:bottom w:val="single" w:color="auto" w:sz="6" w:space="0"/>
              <w:right w:val="single" w:color="auto" w:sz="6" w:space="0"/>
            </w:tcBorders>
            <w:shd w:val="clear" w:color="auto" w:fill="auto"/>
            <w:tcMar>
              <w:bottom w:w="0" w:type="dxa"/>
            </w:tcMar>
            <w:vAlign w:val="center"/>
          </w:tcPr>
          <w:p w14:paraId="57344A51">
            <w:pPr>
              <w:keepNext w:val="0"/>
              <w:keepLines w:val="0"/>
              <w:widowControl/>
              <w:suppressLineNumbers w:val="0"/>
              <w:jc w:val="left"/>
            </w:pPr>
          </w:p>
          <w:p w14:paraId="64EA76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完成2020办公楼维修费工作</w:t>
            </w:r>
          </w:p>
        </w:tc>
        <w:tc>
          <w:tcPr>
            <w:tcW w:w="4785" w:type="dxa"/>
            <w:gridSpan w:val="2"/>
            <w:tcBorders>
              <w:top w:val="nil"/>
              <w:left w:val="nil"/>
              <w:bottom w:val="single" w:color="auto" w:sz="6" w:space="0"/>
              <w:right w:val="single" w:color="auto" w:sz="6" w:space="0"/>
            </w:tcBorders>
            <w:shd w:val="clear" w:color="auto" w:fill="auto"/>
            <w:tcMar>
              <w:bottom w:w="0" w:type="dxa"/>
            </w:tcMar>
            <w:vAlign w:val="center"/>
          </w:tcPr>
          <w:p w14:paraId="08C621E5">
            <w:pPr>
              <w:keepNext w:val="0"/>
              <w:keepLines w:val="0"/>
              <w:widowControl/>
              <w:suppressLineNumbers w:val="0"/>
              <w:jc w:val="left"/>
            </w:pPr>
          </w:p>
          <w:p w14:paraId="3FC983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完成2020办公楼维修费工作</w:t>
            </w:r>
          </w:p>
        </w:tc>
      </w:tr>
      <w:tr w14:paraId="74AA5B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390" w:type="dxa"/>
            <w:vMerge w:val="restart"/>
            <w:tcBorders>
              <w:top w:val="nil"/>
              <w:left w:val="single" w:color="auto" w:sz="6" w:space="0"/>
              <w:bottom w:val="single" w:color="auto" w:sz="6" w:space="0"/>
              <w:right w:val="single" w:color="auto" w:sz="6" w:space="0"/>
            </w:tcBorders>
            <w:shd w:val="clear" w:color="auto" w:fill="auto"/>
            <w:tcMar>
              <w:bottom w:w="0" w:type="dxa"/>
            </w:tcMar>
            <w:vAlign w:val="center"/>
          </w:tcPr>
          <w:p w14:paraId="75ED7574">
            <w:pPr>
              <w:keepNext w:val="0"/>
              <w:keepLines w:val="0"/>
              <w:widowControl/>
              <w:suppressLineNumbers w:val="0"/>
              <w:jc w:val="left"/>
            </w:pPr>
          </w:p>
          <w:p w14:paraId="4B90D6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绩效指标完成情况</w:t>
            </w: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34993DE6">
            <w:pPr>
              <w:keepNext w:val="0"/>
              <w:keepLines w:val="0"/>
              <w:widowControl/>
              <w:suppressLineNumbers w:val="0"/>
              <w:jc w:val="left"/>
            </w:pPr>
          </w:p>
          <w:p w14:paraId="0FFBDE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一级指标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2BD51F98">
            <w:pPr>
              <w:keepNext w:val="0"/>
              <w:keepLines w:val="0"/>
              <w:widowControl/>
              <w:suppressLineNumbers w:val="0"/>
              <w:jc w:val="left"/>
            </w:pPr>
          </w:p>
          <w:p w14:paraId="0A4095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二级指标</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17C4A9BE">
            <w:pPr>
              <w:keepNext w:val="0"/>
              <w:keepLines w:val="0"/>
              <w:widowControl/>
              <w:suppressLineNumbers w:val="0"/>
              <w:jc w:val="left"/>
            </w:pPr>
          </w:p>
          <w:p w14:paraId="1C8B8B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三级指标</w:t>
            </w:r>
          </w:p>
        </w:tc>
        <w:tc>
          <w:tcPr>
            <w:tcW w:w="2400" w:type="dxa"/>
            <w:tcBorders>
              <w:top w:val="single" w:color="auto" w:sz="6" w:space="0"/>
              <w:left w:val="nil"/>
              <w:bottom w:val="single" w:color="auto" w:sz="6" w:space="0"/>
              <w:right w:val="single" w:color="auto" w:sz="6" w:space="0"/>
            </w:tcBorders>
            <w:shd w:val="clear" w:color="auto" w:fill="auto"/>
            <w:tcMar>
              <w:bottom w:w="0" w:type="dxa"/>
            </w:tcMar>
            <w:vAlign w:val="center"/>
          </w:tcPr>
          <w:p w14:paraId="6B2BA10A">
            <w:pPr>
              <w:keepNext w:val="0"/>
              <w:keepLines w:val="0"/>
              <w:widowControl/>
              <w:suppressLineNumbers w:val="0"/>
              <w:jc w:val="left"/>
            </w:pPr>
          </w:p>
          <w:p w14:paraId="2F2E8A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预期指标值(包含数字及文字描述)</w:t>
            </w:r>
          </w:p>
        </w:tc>
        <w:tc>
          <w:tcPr>
            <w:tcW w:w="2385" w:type="dxa"/>
            <w:tcBorders>
              <w:top w:val="single" w:color="auto" w:sz="6" w:space="0"/>
              <w:left w:val="nil"/>
              <w:bottom w:val="single" w:color="auto" w:sz="6" w:space="0"/>
              <w:right w:val="single" w:color="auto" w:sz="6" w:space="0"/>
            </w:tcBorders>
            <w:shd w:val="clear" w:color="auto" w:fill="auto"/>
            <w:tcMar>
              <w:bottom w:w="0" w:type="dxa"/>
            </w:tcMar>
            <w:vAlign w:val="center"/>
          </w:tcPr>
          <w:p w14:paraId="02D241C7">
            <w:pPr>
              <w:keepNext w:val="0"/>
              <w:keepLines w:val="0"/>
              <w:widowControl/>
              <w:suppressLineNumbers w:val="0"/>
              <w:jc w:val="left"/>
            </w:pPr>
          </w:p>
          <w:p w14:paraId="7F0BEF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实际完成指标值(包含数字及文字描述)</w:t>
            </w:r>
          </w:p>
        </w:tc>
      </w:tr>
      <w:tr w14:paraId="3A658A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6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632FD49E">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693D284E">
            <w:pPr>
              <w:keepNext w:val="0"/>
              <w:keepLines w:val="0"/>
              <w:widowControl/>
              <w:suppressLineNumbers w:val="0"/>
              <w:jc w:val="left"/>
            </w:pPr>
          </w:p>
          <w:p w14:paraId="12511C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0AC5BCE7">
            <w:pPr>
              <w:keepNext w:val="0"/>
              <w:keepLines w:val="0"/>
              <w:widowControl/>
              <w:suppressLineNumbers w:val="0"/>
              <w:jc w:val="left"/>
            </w:pPr>
          </w:p>
          <w:p w14:paraId="7536FB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数量指标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741FC631">
            <w:pPr>
              <w:keepNext w:val="0"/>
              <w:keepLines w:val="0"/>
              <w:widowControl/>
              <w:suppressLineNumbers w:val="0"/>
              <w:jc w:val="left"/>
            </w:pPr>
          </w:p>
          <w:p w14:paraId="06C44D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5507E3EC">
            <w:pPr>
              <w:keepNext w:val="0"/>
              <w:keepLines w:val="0"/>
              <w:widowControl/>
              <w:suppressLineNumbers w:val="0"/>
              <w:jc w:val="left"/>
            </w:pPr>
          </w:p>
          <w:p w14:paraId="2D5A5A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03907236">
            <w:pPr>
              <w:keepNext w:val="0"/>
              <w:keepLines w:val="0"/>
              <w:widowControl/>
              <w:suppressLineNumbers w:val="0"/>
              <w:jc w:val="left"/>
            </w:pPr>
          </w:p>
          <w:p w14:paraId="07998D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r>
      <w:tr w14:paraId="3F0450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9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2A59BAAE">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3CF6FD37">
            <w:pPr>
              <w:keepNext w:val="0"/>
              <w:keepLines w:val="0"/>
              <w:widowControl/>
              <w:suppressLineNumbers w:val="0"/>
              <w:jc w:val="left"/>
            </w:pPr>
          </w:p>
          <w:p w14:paraId="56D5D7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4782DCD0">
            <w:pPr>
              <w:keepNext w:val="0"/>
              <w:keepLines w:val="0"/>
              <w:widowControl/>
              <w:suppressLineNumbers w:val="0"/>
              <w:jc w:val="left"/>
            </w:pPr>
          </w:p>
          <w:p w14:paraId="5BDAF0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质量指标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3D162559">
            <w:pPr>
              <w:keepNext w:val="0"/>
              <w:keepLines w:val="0"/>
              <w:widowControl/>
              <w:suppressLineNumbers w:val="0"/>
              <w:jc w:val="left"/>
            </w:pPr>
          </w:p>
          <w:p w14:paraId="1C6E98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348DE867">
            <w:pPr>
              <w:keepNext w:val="0"/>
              <w:keepLines w:val="0"/>
              <w:widowControl/>
              <w:suppressLineNumbers w:val="0"/>
              <w:jc w:val="left"/>
            </w:pPr>
          </w:p>
          <w:p w14:paraId="4AD761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48A99338">
            <w:pPr>
              <w:keepNext w:val="0"/>
              <w:keepLines w:val="0"/>
              <w:widowControl/>
              <w:suppressLineNumbers w:val="0"/>
              <w:jc w:val="left"/>
            </w:pPr>
          </w:p>
          <w:p w14:paraId="4E4796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无</w:t>
            </w:r>
          </w:p>
        </w:tc>
      </w:tr>
      <w:tr w14:paraId="246122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2527748F">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0F055CA9">
            <w:pPr>
              <w:keepNext w:val="0"/>
              <w:keepLines w:val="0"/>
              <w:widowControl/>
              <w:suppressLineNumbers w:val="0"/>
              <w:jc w:val="left"/>
            </w:pPr>
          </w:p>
          <w:p w14:paraId="6F97B4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0D4F0ADD">
            <w:pPr>
              <w:keepNext w:val="0"/>
              <w:keepLines w:val="0"/>
              <w:widowControl/>
              <w:suppressLineNumbers w:val="0"/>
              <w:jc w:val="left"/>
            </w:pPr>
          </w:p>
          <w:p w14:paraId="6402FE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时效指标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42A87007">
            <w:pPr>
              <w:keepNext w:val="0"/>
              <w:keepLines w:val="0"/>
              <w:widowControl/>
              <w:suppressLineNumbers w:val="0"/>
              <w:jc w:val="left"/>
            </w:pPr>
          </w:p>
          <w:p w14:paraId="53EEAA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指标1：完成时间</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69BC8072">
            <w:pPr>
              <w:keepNext w:val="0"/>
              <w:keepLines w:val="0"/>
              <w:widowControl/>
              <w:suppressLineNumbers w:val="0"/>
              <w:jc w:val="left"/>
            </w:pPr>
          </w:p>
          <w:p w14:paraId="29243F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2020年底</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012EA544">
            <w:pPr>
              <w:keepNext w:val="0"/>
              <w:keepLines w:val="0"/>
              <w:widowControl/>
              <w:suppressLineNumbers w:val="0"/>
              <w:jc w:val="left"/>
            </w:pPr>
          </w:p>
          <w:p w14:paraId="5AB51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2020年底</w:t>
            </w:r>
          </w:p>
        </w:tc>
      </w:tr>
      <w:tr w14:paraId="377BEB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420B85EC">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6F8B2CE5">
            <w:pPr>
              <w:keepNext w:val="0"/>
              <w:keepLines w:val="0"/>
              <w:widowControl/>
              <w:suppressLineNumbers w:val="0"/>
              <w:jc w:val="left"/>
            </w:pPr>
          </w:p>
          <w:p w14:paraId="05B09A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项目完成指标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1B6D2656">
            <w:pPr>
              <w:keepNext w:val="0"/>
              <w:keepLines w:val="0"/>
              <w:widowControl/>
              <w:suppressLineNumbers w:val="0"/>
              <w:jc w:val="left"/>
            </w:pPr>
          </w:p>
          <w:p w14:paraId="57D17D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成本指标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6E7525D5">
            <w:pPr>
              <w:keepNext w:val="0"/>
              <w:keepLines w:val="0"/>
              <w:widowControl/>
              <w:suppressLineNumbers w:val="0"/>
              <w:jc w:val="left"/>
            </w:pPr>
          </w:p>
          <w:p w14:paraId="588A06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指标1：经费</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2645F13A">
            <w:pPr>
              <w:keepNext w:val="0"/>
              <w:keepLines w:val="0"/>
              <w:widowControl/>
              <w:suppressLineNumbers w:val="0"/>
              <w:jc w:val="left"/>
            </w:pPr>
          </w:p>
          <w:p w14:paraId="59C794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经费521,120.98元</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59496DE2">
            <w:pPr>
              <w:keepNext w:val="0"/>
              <w:keepLines w:val="0"/>
              <w:widowControl/>
              <w:suppressLineNumbers w:val="0"/>
              <w:jc w:val="left"/>
            </w:pPr>
          </w:p>
          <w:p w14:paraId="194AA0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经费521,120.98元</w:t>
            </w:r>
          </w:p>
        </w:tc>
      </w:tr>
      <w:tr w14:paraId="1905CD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35"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419C9AAF">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73298F13">
            <w:pPr>
              <w:keepNext w:val="0"/>
              <w:keepLines w:val="0"/>
              <w:widowControl/>
              <w:suppressLineNumbers w:val="0"/>
              <w:jc w:val="left"/>
            </w:pPr>
          </w:p>
          <w:p w14:paraId="7F58FB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效益指标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69815AAC">
            <w:pPr>
              <w:keepNext w:val="0"/>
              <w:keepLines w:val="0"/>
              <w:widowControl/>
              <w:suppressLineNumbers w:val="0"/>
              <w:jc w:val="left"/>
            </w:pPr>
          </w:p>
          <w:p w14:paraId="0A96C9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社会效益</w:t>
            </w:r>
          </w:p>
          <w:p w14:paraId="209E2A6F">
            <w:pPr>
              <w:keepNext w:val="0"/>
              <w:keepLines w:val="0"/>
              <w:widowControl/>
              <w:suppressLineNumbers w:val="0"/>
              <w:jc w:val="left"/>
            </w:pPr>
          </w:p>
          <w:p w14:paraId="3DF58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687D1363">
            <w:pPr>
              <w:keepNext w:val="0"/>
              <w:keepLines w:val="0"/>
              <w:widowControl/>
              <w:suppressLineNumbers w:val="0"/>
              <w:jc w:val="left"/>
            </w:pPr>
          </w:p>
          <w:p w14:paraId="261BCD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指标1：2020办公楼维修费工作</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51EB23E7">
            <w:pPr>
              <w:keepNext w:val="0"/>
              <w:keepLines w:val="0"/>
              <w:widowControl/>
              <w:suppressLineNumbers w:val="0"/>
              <w:jc w:val="left"/>
            </w:pPr>
          </w:p>
          <w:p w14:paraId="1E00C3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完成2020办公楼维修费工作</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255D403C">
            <w:pPr>
              <w:keepNext w:val="0"/>
              <w:keepLines w:val="0"/>
              <w:widowControl/>
              <w:suppressLineNumbers w:val="0"/>
              <w:jc w:val="left"/>
            </w:pPr>
          </w:p>
          <w:p w14:paraId="162F97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完成2020办公楼维修费工作</w:t>
            </w:r>
          </w:p>
        </w:tc>
      </w:tr>
      <w:tr w14:paraId="7E3D92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9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4A9C84CC">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1A3CAD12">
            <w:pPr>
              <w:keepNext w:val="0"/>
              <w:keepLines w:val="0"/>
              <w:widowControl/>
              <w:suppressLineNumbers w:val="0"/>
              <w:jc w:val="left"/>
            </w:pPr>
          </w:p>
          <w:p w14:paraId="581FD4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效益指标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2C5E3F63">
            <w:pPr>
              <w:keepNext w:val="0"/>
              <w:keepLines w:val="0"/>
              <w:widowControl/>
              <w:suppressLineNumbers w:val="0"/>
              <w:jc w:val="left"/>
            </w:pPr>
          </w:p>
          <w:p w14:paraId="41A2DC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生态效益</w:t>
            </w:r>
          </w:p>
          <w:p w14:paraId="0C9E6FBC">
            <w:pPr>
              <w:keepNext w:val="0"/>
              <w:keepLines w:val="0"/>
              <w:widowControl/>
              <w:suppressLineNumbers w:val="0"/>
              <w:jc w:val="left"/>
            </w:pPr>
          </w:p>
          <w:p w14:paraId="01737D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1A69296A">
            <w:pPr>
              <w:keepNext w:val="0"/>
              <w:keepLines w:val="0"/>
              <w:widowControl/>
              <w:suppressLineNumbers w:val="0"/>
              <w:jc w:val="left"/>
            </w:pPr>
          </w:p>
          <w:p w14:paraId="03C271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5E1AA7C8">
            <w:pPr>
              <w:keepNext w:val="0"/>
              <w:keepLines w:val="0"/>
              <w:widowControl/>
              <w:suppressLineNumbers w:val="0"/>
              <w:jc w:val="left"/>
            </w:pP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0787E858">
            <w:pPr>
              <w:keepNext w:val="0"/>
              <w:keepLines w:val="0"/>
              <w:widowControl/>
              <w:suppressLineNumbers w:val="0"/>
              <w:jc w:val="left"/>
            </w:pPr>
          </w:p>
        </w:tc>
      </w:tr>
      <w:tr w14:paraId="7EF0F9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29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411F74A7">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5F17D7C6">
            <w:pPr>
              <w:keepNext w:val="0"/>
              <w:keepLines w:val="0"/>
              <w:widowControl/>
              <w:suppressLineNumbers w:val="0"/>
              <w:jc w:val="left"/>
            </w:pPr>
          </w:p>
          <w:p w14:paraId="0F76E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效益指标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6E57113B">
            <w:pPr>
              <w:keepNext w:val="0"/>
              <w:keepLines w:val="0"/>
              <w:widowControl/>
              <w:suppressLineNumbers w:val="0"/>
              <w:jc w:val="left"/>
            </w:pPr>
          </w:p>
          <w:p w14:paraId="332DE4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可持续影响</w:t>
            </w:r>
          </w:p>
          <w:p w14:paraId="27B8D32A">
            <w:pPr>
              <w:keepNext w:val="0"/>
              <w:keepLines w:val="0"/>
              <w:widowControl/>
              <w:suppressLineNumbers w:val="0"/>
              <w:jc w:val="left"/>
            </w:pPr>
          </w:p>
          <w:p w14:paraId="012D72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29CDE3C2">
            <w:pPr>
              <w:keepNext w:val="0"/>
              <w:keepLines w:val="0"/>
              <w:widowControl/>
              <w:suppressLineNumbers w:val="0"/>
              <w:jc w:val="left"/>
            </w:pPr>
          </w:p>
          <w:p w14:paraId="16908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指标1：无</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220AC1D4">
            <w:pPr>
              <w:keepNext w:val="0"/>
              <w:keepLines w:val="0"/>
              <w:widowControl/>
              <w:suppressLineNumbers w:val="0"/>
              <w:jc w:val="left"/>
            </w:pP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3A44EE4F">
            <w:pPr>
              <w:keepNext w:val="0"/>
              <w:keepLines w:val="0"/>
              <w:widowControl/>
              <w:suppressLineNumbers w:val="0"/>
              <w:jc w:val="left"/>
            </w:pPr>
          </w:p>
        </w:tc>
      </w:tr>
      <w:tr w14:paraId="100A57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50" w:hRule="atLeast"/>
        </w:trPr>
        <w:tc>
          <w:tcPr>
            <w:tcW w:w="390" w:type="dxa"/>
            <w:vMerge w:val="continue"/>
            <w:tcBorders>
              <w:top w:val="nil"/>
              <w:left w:val="single" w:color="auto" w:sz="6" w:space="0"/>
              <w:bottom w:val="single" w:color="auto" w:sz="6" w:space="0"/>
              <w:right w:val="single" w:color="auto" w:sz="6" w:space="0"/>
            </w:tcBorders>
            <w:shd w:val="clear" w:color="auto" w:fill="auto"/>
            <w:tcMar>
              <w:bottom w:w="0" w:type="dxa"/>
            </w:tcMar>
            <w:vAlign w:val="center"/>
          </w:tcPr>
          <w:p w14:paraId="299E50BB">
            <w:pPr>
              <w:rPr>
                <w:rFonts w:hint="eastAsia" w:ascii="宋体"/>
                <w:sz w:val="24"/>
                <w:szCs w:val="24"/>
              </w:rPr>
            </w:pPr>
          </w:p>
        </w:tc>
        <w:tc>
          <w:tcPr>
            <w:tcW w:w="1365" w:type="dxa"/>
            <w:tcBorders>
              <w:top w:val="nil"/>
              <w:left w:val="nil"/>
              <w:bottom w:val="single" w:color="auto" w:sz="6" w:space="0"/>
              <w:right w:val="single" w:color="auto" w:sz="6" w:space="0"/>
            </w:tcBorders>
            <w:shd w:val="clear" w:color="auto" w:fill="auto"/>
            <w:tcMar>
              <w:bottom w:w="0" w:type="dxa"/>
            </w:tcMar>
            <w:vAlign w:val="center"/>
          </w:tcPr>
          <w:p w14:paraId="06630D65">
            <w:pPr>
              <w:keepNext w:val="0"/>
              <w:keepLines w:val="0"/>
              <w:widowControl/>
              <w:suppressLineNumbers w:val="0"/>
              <w:jc w:val="left"/>
            </w:pPr>
          </w:p>
          <w:p w14:paraId="7CDD20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满意度指标</w:t>
            </w:r>
          </w:p>
        </w:tc>
        <w:tc>
          <w:tcPr>
            <w:tcW w:w="1020" w:type="dxa"/>
            <w:tcBorders>
              <w:top w:val="nil"/>
              <w:left w:val="nil"/>
              <w:bottom w:val="single" w:color="auto" w:sz="6" w:space="0"/>
              <w:right w:val="single" w:color="auto" w:sz="6" w:space="0"/>
            </w:tcBorders>
            <w:shd w:val="clear" w:color="auto" w:fill="auto"/>
            <w:tcMar>
              <w:bottom w:w="0" w:type="dxa"/>
            </w:tcMar>
            <w:vAlign w:val="center"/>
          </w:tcPr>
          <w:p w14:paraId="69D7AF15">
            <w:pPr>
              <w:keepNext w:val="0"/>
              <w:keepLines w:val="0"/>
              <w:widowControl/>
              <w:suppressLineNumbers w:val="0"/>
              <w:jc w:val="left"/>
            </w:pPr>
          </w:p>
          <w:p w14:paraId="24472F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满意度指标</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520C0F79">
            <w:pPr>
              <w:keepNext w:val="0"/>
              <w:keepLines w:val="0"/>
              <w:widowControl/>
              <w:suppressLineNumbers w:val="0"/>
              <w:jc w:val="left"/>
            </w:pPr>
          </w:p>
          <w:p w14:paraId="5D03F6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 指标1：上级主管部门满意</w:t>
            </w:r>
          </w:p>
        </w:tc>
        <w:tc>
          <w:tcPr>
            <w:tcW w:w="2400" w:type="dxa"/>
            <w:tcBorders>
              <w:top w:val="nil"/>
              <w:left w:val="nil"/>
              <w:bottom w:val="single" w:color="auto" w:sz="6" w:space="0"/>
              <w:right w:val="single" w:color="auto" w:sz="6" w:space="0"/>
            </w:tcBorders>
            <w:shd w:val="clear" w:color="auto" w:fill="auto"/>
            <w:tcMar>
              <w:bottom w:w="0" w:type="dxa"/>
            </w:tcMar>
            <w:vAlign w:val="center"/>
          </w:tcPr>
          <w:p w14:paraId="60F66F14">
            <w:pPr>
              <w:keepNext w:val="0"/>
              <w:keepLines w:val="0"/>
              <w:widowControl/>
              <w:suppressLineNumbers w:val="0"/>
              <w:jc w:val="left"/>
            </w:pPr>
          </w:p>
          <w:p w14:paraId="44C1EF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上级主管部门满意</w:t>
            </w:r>
          </w:p>
        </w:tc>
        <w:tc>
          <w:tcPr>
            <w:tcW w:w="2385" w:type="dxa"/>
            <w:tcBorders>
              <w:top w:val="nil"/>
              <w:left w:val="nil"/>
              <w:bottom w:val="single" w:color="auto" w:sz="6" w:space="0"/>
              <w:right w:val="single" w:color="auto" w:sz="6" w:space="0"/>
            </w:tcBorders>
            <w:shd w:val="clear" w:color="auto" w:fill="auto"/>
            <w:tcMar>
              <w:bottom w:w="0" w:type="dxa"/>
            </w:tcMar>
            <w:vAlign w:val="center"/>
          </w:tcPr>
          <w:p w14:paraId="3BCF4DB3">
            <w:pPr>
              <w:keepNext w:val="0"/>
              <w:keepLines w:val="0"/>
              <w:widowControl/>
              <w:suppressLineNumbers w:val="0"/>
              <w:jc w:val="left"/>
            </w:pPr>
          </w:p>
          <w:p w14:paraId="2448E9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24"/>
                <w:szCs w:val="24"/>
              </w:rPr>
              <w:t>上级主管部门满意</w:t>
            </w:r>
          </w:p>
        </w:tc>
      </w:tr>
    </w:tbl>
    <w:p w14:paraId="47ADF1E5">
      <w:pPr>
        <w:pStyle w:val="2"/>
        <w:keepNext w:val="0"/>
        <w:keepLines w:val="0"/>
        <w:widowControl/>
        <w:suppressLineNumbers w:val="0"/>
        <w:spacing w:before="75" w:beforeAutospacing="0" w:after="210" w:afterAutospacing="0"/>
        <w:ind w:left="0" w:right="0"/>
      </w:pPr>
    </w:p>
    <w:p w14:paraId="31788A3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2.部门绩效评价结果。</w:t>
      </w:r>
    </w:p>
    <w:p w14:paraId="18751C76">
      <w:pPr>
        <w:pStyle w:val="2"/>
        <w:keepNext w:val="0"/>
        <w:keepLines w:val="0"/>
        <w:widowControl/>
        <w:suppressLineNumbers w:val="0"/>
        <w:spacing w:before="75" w:beforeAutospacing="0" w:after="210" w:afterAutospacing="0"/>
        <w:ind w:left="0" w:right="0"/>
      </w:pPr>
    </w:p>
    <w:p w14:paraId="2FBEB5D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本部门按要求对2020年部门整体支出绩效评价情况开展自评，《乐山市沙湾区公共资源交易服务中心2020年部门整体支出绩效评价报告》见附件（附件1）。</w:t>
      </w:r>
    </w:p>
    <w:p w14:paraId="7F90F30F">
      <w:pPr>
        <w:pStyle w:val="2"/>
        <w:keepNext w:val="0"/>
        <w:keepLines w:val="0"/>
        <w:widowControl/>
        <w:suppressLineNumbers w:val="0"/>
        <w:spacing w:before="75" w:beforeAutospacing="0" w:after="210" w:afterAutospacing="0"/>
        <w:ind w:left="0" w:right="0"/>
      </w:pPr>
    </w:p>
    <w:p w14:paraId="25F7DEB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第三部分 名词解释</w:t>
      </w:r>
    </w:p>
    <w:p w14:paraId="6B229BF2">
      <w:pPr>
        <w:pStyle w:val="2"/>
        <w:keepNext w:val="0"/>
        <w:keepLines w:val="0"/>
        <w:widowControl/>
        <w:suppressLineNumbers w:val="0"/>
        <w:spacing w:before="75" w:beforeAutospacing="0" w:after="210" w:afterAutospacing="0"/>
        <w:ind w:left="0" w:right="0"/>
      </w:pPr>
    </w:p>
    <w:p w14:paraId="5538243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1.财政拨款收入：指反映单位从同级财政部门取得的财政预算资金。</w:t>
      </w:r>
    </w:p>
    <w:p w14:paraId="1585C5AE">
      <w:pPr>
        <w:pStyle w:val="2"/>
        <w:keepNext w:val="0"/>
        <w:keepLines w:val="0"/>
        <w:widowControl/>
        <w:suppressLineNumbers w:val="0"/>
        <w:spacing w:before="75" w:beforeAutospacing="0" w:after="210" w:afterAutospacing="0"/>
        <w:ind w:left="0" w:right="0"/>
      </w:pPr>
    </w:p>
    <w:p w14:paraId="73982F6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2.事业收入：指反映事业单位开展专业业务活动及辅助活动取得的收入。</w:t>
      </w:r>
    </w:p>
    <w:p w14:paraId="6EE08276">
      <w:pPr>
        <w:pStyle w:val="2"/>
        <w:keepNext w:val="0"/>
        <w:keepLines w:val="0"/>
        <w:widowControl/>
        <w:suppressLineNumbers w:val="0"/>
        <w:spacing w:before="75" w:beforeAutospacing="0" w:after="210" w:afterAutospacing="0"/>
        <w:ind w:left="0" w:right="0"/>
      </w:pPr>
    </w:p>
    <w:p w14:paraId="4328585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3.年初结转和结余：指反映以前年度尚未完成、结转到本年按有关规定继续使用的资金。</w:t>
      </w:r>
    </w:p>
    <w:p w14:paraId="6BCE4890">
      <w:pPr>
        <w:pStyle w:val="2"/>
        <w:keepNext w:val="0"/>
        <w:keepLines w:val="0"/>
        <w:widowControl/>
        <w:suppressLineNumbers w:val="0"/>
        <w:spacing w:before="75" w:beforeAutospacing="0" w:after="210" w:afterAutospacing="0"/>
        <w:ind w:left="0" w:right="0"/>
      </w:pPr>
    </w:p>
    <w:p w14:paraId="1FBD9B0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4.结余分配：指反映事业单位按照事业单位会计制度的规定从非财政补助结余中分配的事业基金和职工福利基金等。</w:t>
      </w:r>
    </w:p>
    <w:p w14:paraId="5FB9190E">
      <w:pPr>
        <w:pStyle w:val="2"/>
        <w:keepNext w:val="0"/>
        <w:keepLines w:val="0"/>
        <w:widowControl/>
        <w:suppressLineNumbers w:val="0"/>
        <w:spacing w:before="75" w:beforeAutospacing="0" w:after="210" w:afterAutospacing="0"/>
        <w:ind w:left="0" w:right="0"/>
      </w:pPr>
    </w:p>
    <w:p w14:paraId="12D0B70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5、年末结转和结余：指反映单位按有关规定结转到下年或以后年度继续使用的资金。</w:t>
      </w:r>
    </w:p>
    <w:p w14:paraId="2E7093D5">
      <w:pPr>
        <w:pStyle w:val="2"/>
        <w:keepNext w:val="0"/>
        <w:keepLines w:val="0"/>
        <w:widowControl/>
        <w:suppressLineNumbers w:val="0"/>
        <w:spacing w:before="75" w:beforeAutospacing="0" w:after="210" w:afterAutospacing="0"/>
        <w:ind w:left="0" w:right="0"/>
      </w:pPr>
    </w:p>
    <w:p w14:paraId="4CC8285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6.一般公共服务（类）政府办公厅（室）及相关机构事务（款）行政运行（项）:指反映行政单位（包括实行公务员管理的事业单位）的基本支出。</w:t>
      </w:r>
    </w:p>
    <w:p w14:paraId="3F54B220">
      <w:pPr>
        <w:pStyle w:val="2"/>
        <w:keepNext w:val="0"/>
        <w:keepLines w:val="0"/>
        <w:widowControl/>
        <w:suppressLineNumbers w:val="0"/>
        <w:spacing w:before="75" w:beforeAutospacing="0" w:after="210" w:afterAutospacing="0"/>
        <w:ind w:left="0" w:right="0"/>
      </w:pPr>
    </w:p>
    <w:p w14:paraId="430E344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7.一般公共服务（类）政府办公厅（室）及相关机构事务（款）一般行政管理事务（项）:指反映行政单位（包括实行公务员管理的事业单位）未单独设置项级科目的其他项目支出。</w:t>
      </w:r>
    </w:p>
    <w:p w14:paraId="171D7CCA">
      <w:pPr>
        <w:pStyle w:val="2"/>
        <w:keepNext w:val="0"/>
        <w:keepLines w:val="0"/>
        <w:widowControl/>
        <w:suppressLineNumbers w:val="0"/>
        <w:spacing w:before="75" w:beforeAutospacing="0" w:after="210" w:afterAutospacing="0"/>
        <w:ind w:left="0" w:right="0"/>
      </w:pPr>
    </w:p>
    <w:p w14:paraId="638A9CD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8.国防支出（类）国防动员（款）人民防空（项）：指反映人民防空工程建设、宣传等方面的支出。</w:t>
      </w:r>
    </w:p>
    <w:p w14:paraId="78B8AC7E">
      <w:pPr>
        <w:pStyle w:val="2"/>
        <w:keepNext w:val="0"/>
        <w:keepLines w:val="0"/>
        <w:widowControl/>
        <w:suppressLineNumbers w:val="0"/>
        <w:spacing w:before="75" w:beforeAutospacing="0" w:after="210" w:afterAutospacing="0"/>
        <w:ind w:left="0" w:right="0"/>
      </w:pPr>
    </w:p>
    <w:p w14:paraId="6439315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9.节能环保（类）污染防治（款）水体（项）：指反映政府在排水、污水处理、水体污染防治等方面的支出。</w:t>
      </w:r>
    </w:p>
    <w:p w14:paraId="32D37958">
      <w:pPr>
        <w:pStyle w:val="2"/>
        <w:keepNext w:val="0"/>
        <w:keepLines w:val="0"/>
        <w:widowControl/>
        <w:suppressLineNumbers w:val="0"/>
        <w:spacing w:before="75" w:beforeAutospacing="0" w:after="210" w:afterAutospacing="0"/>
        <w:ind w:left="0" w:right="0"/>
      </w:pPr>
    </w:p>
    <w:p w14:paraId="3A686C4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10.城乡社区（类）城乡社区管理事务（款）行政运行（项）：指反映行政单位的（包括施行公务员管理的事业单位）的基本支出。</w:t>
      </w:r>
    </w:p>
    <w:p w14:paraId="4056E278">
      <w:pPr>
        <w:pStyle w:val="2"/>
        <w:keepNext w:val="0"/>
        <w:keepLines w:val="0"/>
        <w:widowControl/>
        <w:suppressLineNumbers w:val="0"/>
        <w:spacing w:before="75" w:beforeAutospacing="0" w:after="210" w:afterAutospacing="0"/>
        <w:ind w:left="0" w:right="0"/>
      </w:pPr>
    </w:p>
    <w:p w14:paraId="35E5964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11.城乡社区（类）城乡社区管理事务（款）一般行政管理事务（项）：指反映行政单位的（包括施行公务员管理的事业单位）未单独设置项级科目的其他项目支出。</w:t>
      </w:r>
    </w:p>
    <w:p w14:paraId="17A9FEF5">
      <w:pPr>
        <w:pStyle w:val="2"/>
        <w:keepNext w:val="0"/>
        <w:keepLines w:val="0"/>
        <w:widowControl/>
        <w:suppressLineNumbers w:val="0"/>
        <w:spacing w:before="75" w:beforeAutospacing="0" w:after="210" w:afterAutospacing="0"/>
        <w:ind w:left="0" w:right="0"/>
      </w:pPr>
    </w:p>
    <w:p w14:paraId="517AB51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12.城乡社区（类）城乡社区环境卫生（款）城乡社区环境卫生（项）：指反映城乡社区道路清扫、垃圾清运与处理、公厕建设与维护、园林绿化等方面的支出。</w:t>
      </w:r>
    </w:p>
    <w:p w14:paraId="795060B6">
      <w:pPr>
        <w:pStyle w:val="2"/>
        <w:keepNext w:val="0"/>
        <w:keepLines w:val="0"/>
        <w:widowControl/>
        <w:suppressLineNumbers w:val="0"/>
        <w:spacing w:before="75" w:beforeAutospacing="0" w:after="210" w:afterAutospacing="0"/>
        <w:ind w:left="0" w:right="0"/>
      </w:pPr>
    </w:p>
    <w:p w14:paraId="2A1A6EC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13.城乡社区（类）国有土地使用权出让收入安排的支出（款）土地开发支出（项）：指反映地方政府用于前期土地开发性支出以及前期土地开发相关的费用等支出。</w:t>
      </w:r>
    </w:p>
    <w:p w14:paraId="10A860A6">
      <w:pPr>
        <w:pStyle w:val="2"/>
        <w:keepNext w:val="0"/>
        <w:keepLines w:val="0"/>
        <w:widowControl/>
        <w:suppressLineNumbers w:val="0"/>
        <w:spacing w:before="75" w:beforeAutospacing="0" w:after="210" w:afterAutospacing="0"/>
        <w:ind w:left="0" w:right="0"/>
      </w:pPr>
    </w:p>
    <w:p w14:paraId="40CD843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14.城乡社区（类）城市基础设施配套费安排的支出（款）城市公共设施（项）：指反映城市基础设施配套费安排用于城市道路、桥涵、公共交通、道路照明、供排水、燃气、供热等公共设施维护、建设和管理方面的支出。</w:t>
      </w:r>
    </w:p>
    <w:p w14:paraId="4D96AD35">
      <w:pPr>
        <w:pStyle w:val="2"/>
        <w:keepNext w:val="0"/>
        <w:keepLines w:val="0"/>
        <w:widowControl/>
        <w:suppressLineNumbers w:val="0"/>
        <w:spacing w:before="75" w:beforeAutospacing="0" w:after="210" w:afterAutospacing="0"/>
        <w:ind w:left="0" w:right="0"/>
      </w:pPr>
    </w:p>
    <w:p w14:paraId="5C1DF87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15.城乡社区（类）城市基础设施配套费安排的支出（款）城市环境卫生（项）：指反映城市基础设施配套费安排用于道路清扫、垃圾清运与处理、污水处理、园林绿化等方面的支出。</w:t>
      </w:r>
    </w:p>
    <w:p w14:paraId="240958BC">
      <w:pPr>
        <w:pStyle w:val="2"/>
        <w:keepNext w:val="0"/>
        <w:keepLines w:val="0"/>
        <w:widowControl/>
        <w:suppressLineNumbers w:val="0"/>
        <w:spacing w:before="75" w:beforeAutospacing="0" w:after="210" w:afterAutospacing="0"/>
        <w:ind w:left="0" w:right="0"/>
      </w:pPr>
    </w:p>
    <w:p w14:paraId="5BD4801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16.城乡社区（类）污水处理费安排的支出（款）代征手续费（项）：指反映用污水处理费安排的代征手续费支出。</w:t>
      </w:r>
    </w:p>
    <w:p w14:paraId="3AD9C9AA">
      <w:pPr>
        <w:pStyle w:val="2"/>
        <w:keepNext w:val="0"/>
        <w:keepLines w:val="0"/>
        <w:widowControl/>
        <w:suppressLineNumbers w:val="0"/>
        <w:spacing w:before="75" w:beforeAutospacing="0" w:after="210" w:afterAutospacing="0"/>
        <w:ind w:left="0" w:right="0"/>
      </w:pPr>
    </w:p>
    <w:p w14:paraId="37361CA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17.农林水支出（类）农业（款）防灾救灾（项）：指反映对农业生产因遭受自然、生物灾害损失给予的补助，促进农业防灾增产措施补助，因其他灾害导致农牧渔业生产者损失给予的补助。</w:t>
      </w:r>
    </w:p>
    <w:p w14:paraId="4C5AF33B">
      <w:pPr>
        <w:pStyle w:val="2"/>
        <w:keepNext w:val="0"/>
        <w:keepLines w:val="0"/>
        <w:widowControl/>
        <w:suppressLineNumbers w:val="0"/>
        <w:spacing w:before="75" w:beforeAutospacing="0" w:after="210" w:afterAutospacing="0"/>
        <w:ind w:left="0" w:right="0"/>
      </w:pPr>
    </w:p>
    <w:p w14:paraId="7A16C21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18.农林水支出（类）水利（款）水利工程运行与维护(项):指反映水利系统用于江、河等治理工程运行与维护方面的支出。</w:t>
      </w:r>
    </w:p>
    <w:p w14:paraId="73C25F20">
      <w:pPr>
        <w:pStyle w:val="2"/>
        <w:keepNext w:val="0"/>
        <w:keepLines w:val="0"/>
        <w:widowControl/>
        <w:suppressLineNumbers w:val="0"/>
        <w:spacing w:before="75" w:beforeAutospacing="0" w:after="210" w:afterAutospacing="0"/>
        <w:ind w:left="0" w:right="0"/>
      </w:pPr>
    </w:p>
    <w:p w14:paraId="08FB972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19.农林水支出（类）水利（款）防汛（项）：指反映防汛业务支出。</w:t>
      </w:r>
    </w:p>
    <w:p w14:paraId="2B98D628">
      <w:pPr>
        <w:pStyle w:val="2"/>
        <w:keepNext w:val="0"/>
        <w:keepLines w:val="0"/>
        <w:widowControl/>
        <w:suppressLineNumbers w:val="0"/>
        <w:spacing w:before="75" w:beforeAutospacing="0" w:after="210" w:afterAutospacing="0"/>
        <w:ind w:left="0" w:right="0"/>
      </w:pPr>
    </w:p>
    <w:p w14:paraId="0E538DA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20.农林水支出（类）水利（款）江河湖库水系综合整治（项）：指反映江河湖库水系综合整治方面的支出。</w:t>
      </w:r>
    </w:p>
    <w:p w14:paraId="04035A99">
      <w:pPr>
        <w:pStyle w:val="2"/>
        <w:keepNext w:val="0"/>
        <w:keepLines w:val="0"/>
        <w:widowControl/>
        <w:suppressLineNumbers w:val="0"/>
        <w:spacing w:before="75" w:beforeAutospacing="0" w:after="210" w:afterAutospacing="0"/>
        <w:ind w:left="0" w:right="0"/>
      </w:pPr>
    </w:p>
    <w:p w14:paraId="58ABF0E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21.交通运输支出（类）公路水路运输（款）公路建设（项）：指反映新建公路支出，公路改建支出。</w:t>
      </w:r>
    </w:p>
    <w:p w14:paraId="43F62C20">
      <w:pPr>
        <w:pStyle w:val="2"/>
        <w:keepNext w:val="0"/>
        <w:keepLines w:val="0"/>
        <w:widowControl/>
        <w:suppressLineNumbers w:val="0"/>
        <w:spacing w:before="75" w:beforeAutospacing="0" w:after="210" w:afterAutospacing="0"/>
        <w:ind w:left="0" w:right="0"/>
      </w:pPr>
    </w:p>
    <w:p w14:paraId="78A4557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22.交通运输支出（类）公路水路运输（款）公路和运输安全（项）：指反映公路和运输安全支出。</w:t>
      </w:r>
    </w:p>
    <w:p w14:paraId="562FE1E2">
      <w:pPr>
        <w:pStyle w:val="2"/>
        <w:keepNext w:val="0"/>
        <w:keepLines w:val="0"/>
        <w:widowControl/>
        <w:suppressLineNumbers w:val="0"/>
        <w:spacing w:before="75" w:beforeAutospacing="0" w:after="210" w:afterAutospacing="0"/>
        <w:ind w:left="0" w:right="0"/>
      </w:pPr>
    </w:p>
    <w:p w14:paraId="7A0E1B4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23.交通运输支出（类）车辆购置税支出（款）车辆购置税其他支出（项）：指反映车辆购置税收入安排的其他支出。</w:t>
      </w:r>
    </w:p>
    <w:p w14:paraId="25A2EFF9">
      <w:pPr>
        <w:pStyle w:val="2"/>
        <w:keepNext w:val="0"/>
        <w:keepLines w:val="0"/>
        <w:widowControl/>
        <w:suppressLineNumbers w:val="0"/>
        <w:spacing w:before="75" w:beforeAutospacing="0" w:after="210" w:afterAutospacing="0"/>
        <w:ind w:left="0" w:right="0"/>
      </w:pPr>
    </w:p>
    <w:p w14:paraId="7C2259C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24.交通运输支出（类）其他交通运输支出（款）其他交通运输支出（项）：指反映其他交通运输支出中除对公共交通运营补助以外的其他支出。</w:t>
      </w:r>
    </w:p>
    <w:p w14:paraId="0AD7946F">
      <w:pPr>
        <w:pStyle w:val="2"/>
        <w:keepNext w:val="0"/>
        <w:keepLines w:val="0"/>
        <w:widowControl/>
        <w:suppressLineNumbers w:val="0"/>
        <w:spacing w:before="75" w:beforeAutospacing="0" w:after="210" w:afterAutospacing="0"/>
        <w:ind w:left="0" w:right="0"/>
      </w:pPr>
    </w:p>
    <w:p w14:paraId="77A1EEF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25.资源勘探信息等支出（类）支持中小企业发展和管理支出（款）其他支持中小企业发展和管理支出（项）：指反映行政单位的（包括施行公务员管理的事业单位）未单独设置项级科目的其他用于支持中小企业发展和管理方面的支出。</w:t>
      </w:r>
    </w:p>
    <w:p w14:paraId="4C1B2BDF">
      <w:pPr>
        <w:pStyle w:val="2"/>
        <w:keepNext w:val="0"/>
        <w:keepLines w:val="0"/>
        <w:widowControl/>
        <w:suppressLineNumbers w:val="0"/>
        <w:spacing w:before="75" w:beforeAutospacing="0" w:after="210" w:afterAutospacing="0"/>
        <w:ind w:left="0" w:right="0"/>
      </w:pPr>
    </w:p>
    <w:p w14:paraId="38EF000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26.住房保障（类）保障性安居工程支出（款）保障性安居工程支出（项）：指反映其他用于保障性住房方面的支出。</w:t>
      </w:r>
    </w:p>
    <w:p w14:paraId="7E1E8943">
      <w:pPr>
        <w:pStyle w:val="2"/>
        <w:keepNext w:val="0"/>
        <w:keepLines w:val="0"/>
        <w:widowControl/>
        <w:suppressLineNumbers w:val="0"/>
        <w:spacing w:before="75" w:beforeAutospacing="0" w:after="210" w:afterAutospacing="0"/>
        <w:ind w:left="0" w:right="0"/>
      </w:pPr>
    </w:p>
    <w:p w14:paraId="741A1A2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27.基本支出：指为保障机构正常运转、完成日常工作任务而发生的人员支出和公用支出。</w:t>
      </w:r>
    </w:p>
    <w:p w14:paraId="4127740E">
      <w:pPr>
        <w:pStyle w:val="2"/>
        <w:keepNext w:val="0"/>
        <w:keepLines w:val="0"/>
        <w:widowControl/>
        <w:suppressLineNumbers w:val="0"/>
        <w:spacing w:before="75" w:beforeAutospacing="0" w:after="210" w:afterAutospacing="0"/>
        <w:ind w:left="0" w:right="0"/>
      </w:pPr>
    </w:p>
    <w:p w14:paraId="319BC3D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28.项目支出：指在基本支出之外为完成特定行政任务和事业发展目标所发生的支出。</w:t>
      </w:r>
    </w:p>
    <w:p w14:paraId="157AB416">
      <w:pPr>
        <w:pStyle w:val="2"/>
        <w:keepNext w:val="0"/>
        <w:keepLines w:val="0"/>
        <w:widowControl/>
        <w:suppressLineNumbers w:val="0"/>
        <w:spacing w:before="75" w:beforeAutospacing="0" w:after="210" w:afterAutospacing="0"/>
        <w:ind w:left="0" w:right="0"/>
      </w:pPr>
    </w:p>
    <w:p w14:paraId="2ACDD30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29.经营支出：指事业单位在专业业务活动及其辅助活动之外开展非独立核算经营活动发生的支出。</w:t>
      </w:r>
    </w:p>
    <w:p w14:paraId="2B9D3075">
      <w:pPr>
        <w:pStyle w:val="2"/>
        <w:keepNext w:val="0"/>
        <w:keepLines w:val="0"/>
        <w:widowControl/>
        <w:suppressLineNumbers w:val="0"/>
        <w:spacing w:before="75" w:beforeAutospacing="0" w:after="210" w:afterAutospacing="0"/>
        <w:ind w:left="0" w:right="0"/>
      </w:pPr>
    </w:p>
    <w:p w14:paraId="17546E0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387DE8">
      <w:pPr>
        <w:pStyle w:val="2"/>
        <w:keepNext w:val="0"/>
        <w:keepLines w:val="0"/>
        <w:widowControl/>
        <w:suppressLineNumbers w:val="0"/>
        <w:spacing w:before="75" w:beforeAutospacing="0" w:after="210" w:afterAutospacing="0"/>
        <w:ind w:left="0" w:right="0"/>
      </w:pPr>
    </w:p>
    <w:p w14:paraId="5074CF6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194A4DF">
      <w:pPr>
        <w:pStyle w:val="2"/>
        <w:keepNext w:val="0"/>
        <w:keepLines w:val="0"/>
        <w:widowControl/>
        <w:suppressLineNumbers w:val="0"/>
        <w:spacing w:before="75" w:beforeAutospacing="0" w:after="210" w:afterAutospacing="0"/>
        <w:ind w:left="0" w:right="0"/>
      </w:pPr>
    </w:p>
    <w:p w14:paraId="4C9FBE8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第四部分 附件</w:t>
      </w:r>
    </w:p>
    <w:p w14:paraId="7D28D85D">
      <w:pPr>
        <w:pStyle w:val="2"/>
        <w:keepNext w:val="0"/>
        <w:keepLines w:val="0"/>
        <w:widowControl/>
        <w:suppressLineNumbers w:val="0"/>
        <w:spacing w:before="75" w:beforeAutospacing="0" w:after="210" w:afterAutospacing="0"/>
        <w:ind w:left="0" w:right="0"/>
      </w:pPr>
    </w:p>
    <w:p w14:paraId="48A0ECF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附件1</w:t>
      </w:r>
    </w:p>
    <w:p w14:paraId="010B1B25">
      <w:pPr>
        <w:pStyle w:val="2"/>
        <w:keepNext w:val="0"/>
        <w:keepLines w:val="0"/>
        <w:widowControl/>
        <w:suppressLineNumbers w:val="0"/>
        <w:spacing w:before="75" w:beforeAutospacing="0" w:after="210" w:afterAutospacing="0"/>
        <w:ind w:left="0" w:right="0"/>
      </w:pPr>
    </w:p>
    <w:p w14:paraId="19AC85B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乐山市沙湾区公共资源交易服务中心</w:t>
      </w:r>
    </w:p>
    <w:p w14:paraId="06C6E83E">
      <w:pPr>
        <w:pStyle w:val="2"/>
        <w:keepNext w:val="0"/>
        <w:keepLines w:val="0"/>
        <w:widowControl/>
        <w:suppressLineNumbers w:val="0"/>
        <w:spacing w:before="75" w:beforeAutospacing="0" w:after="210" w:afterAutospacing="0"/>
        <w:ind w:left="0" w:right="0"/>
      </w:pPr>
    </w:p>
    <w:p w14:paraId="2A50FD3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整体支出绩效报告</w:t>
      </w:r>
    </w:p>
    <w:p w14:paraId="0640723C">
      <w:pPr>
        <w:pStyle w:val="2"/>
        <w:keepNext w:val="0"/>
        <w:keepLines w:val="0"/>
        <w:widowControl/>
        <w:suppressLineNumbers w:val="0"/>
        <w:spacing w:before="75" w:beforeAutospacing="0" w:after="210" w:afterAutospacing="0"/>
        <w:ind w:left="0" w:right="0"/>
      </w:pPr>
    </w:p>
    <w:p w14:paraId="2D4A472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（2020年）</w:t>
      </w:r>
    </w:p>
    <w:p w14:paraId="5C834D7D">
      <w:pPr>
        <w:pStyle w:val="2"/>
        <w:keepNext w:val="0"/>
        <w:keepLines w:val="0"/>
        <w:widowControl/>
        <w:suppressLineNumbers w:val="0"/>
        <w:spacing w:before="75" w:beforeAutospacing="0" w:after="210" w:afterAutospacing="0"/>
        <w:ind w:left="0" w:right="0"/>
      </w:pPr>
    </w:p>
    <w:p w14:paraId="5E726F7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一、单位概况</w:t>
      </w:r>
    </w:p>
    <w:p w14:paraId="73E3A98A">
      <w:pPr>
        <w:pStyle w:val="2"/>
        <w:keepNext w:val="0"/>
        <w:keepLines w:val="0"/>
        <w:widowControl/>
        <w:suppressLineNumbers w:val="0"/>
        <w:spacing w:before="75" w:beforeAutospacing="0" w:after="210" w:afterAutospacing="0"/>
        <w:ind w:left="0" w:right="0"/>
      </w:pPr>
    </w:p>
    <w:p w14:paraId="21C73D1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（一）机构组成。沙湾区公共资源交易服务中心下属二级单位0个，其中行政单位0个，参照公务员法管理的事业单位0个，其他事业单位0个。。</w:t>
      </w:r>
    </w:p>
    <w:p w14:paraId="4892B2D9">
      <w:pPr>
        <w:pStyle w:val="2"/>
        <w:keepNext w:val="0"/>
        <w:keepLines w:val="0"/>
        <w:widowControl/>
        <w:suppressLineNumbers w:val="0"/>
        <w:spacing w:before="75" w:beforeAutospacing="0" w:after="210" w:afterAutospacing="0"/>
        <w:ind w:left="0" w:right="0"/>
      </w:pPr>
    </w:p>
    <w:p w14:paraId="6CDC7CE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（二）机构职能。</w:t>
      </w:r>
    </w:p>
    <w:p w14:paraId="777BF24E">
      <w:pPr>
        <w:pStyle w:val="2"/>
        <w:keepNext w:val="0"/>
        <w:keepLines w:val="0"/>
        <w:widowControl/>
        <w:suppressLineNumbers w:val="0"/>
        <w:spacing w:before="75" w:beforeAutospacing="0" w:after="210" w:afterAutospacing="0"/>
        <w:ind w:left="0" w:right="0"/>
      </w:pPr>
    </w:p>
    <w:p w14:paraId="4668643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１.贯彻落实公共资源交易服务活动的有关法律、法规和政策，为我区公共资源交易活动提供场所、设施和服务。</w:t>
      </w:r>
    </w:p>
    <w:p w14:paraId="672C5056">
      <w:pPr>
        <w:pStyle w:val="2"/>
        <w:keepNext w:val="0"/>
        <w:keepLines w:val="0"/>
        <w:widowControl/>
        <w:suppressLineNumbers w:val="0"/>
        <w:spacing w:before="75" w:beforeAutospacing="0" w:after="210" w:afterAutospacing="0"/>
        <w:ind w:left="0" w:right="0"/>
      </w:pPr>
    </w:p>
    <w:p w14:paraId="4AA0555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２.制定公共资源交易现场管理规章制度、工作流程并组织实施。</w:t>
      </w:r>
    </w:p>
    <w:p w14:paraId="02E450A1">
      <w:pPr>
        <w:pStyle w:val="2"/>
        <w:keepNext w:val="0"/>
        <w:keepLines w:val="0"/>
        <w:widowControl/>
        <w:suppressLineNumbers w:val="0"/>
        <w:spacing w:before="75" w:beforeAutospacing="0" w:after="210" w:afterAutospacing="0"/>
        <w:ind w:left="0" w:right="0"/>
      </w:pPr>
    </w:p>
    <w:p w14:paraId="26EFBE2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３.承担区公共资源信息平台及电子交易平台建设和管理；按照有关规定统一发布公共资源交易信息，为交易各方提供交易咨询等服务。</w:t>
      </w:r>
    </w:p>
    <w:p w14:paraId="583C5962">
      <w:pPr>
        <w:pStyle w:val="2"/>
        <w:keepNext w:val="0"/>
        <w:keepLines w:val="0"/>
        <w:widowControl/>
        <w:suppressLineNumbers w:val="0"/>
        <w:spacing w:before="75" w:beforeAutospacing="0" w:after="210" w:afterAutospacing="0"/>
        <w:ind w:left="0" w:right="0"/>
      </w:pPr>
    </w:p>
    <w:p w14:paraId="48690FA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４.对全区进入区公共资源交易平台运作的建设工程招投标、政府采购、土地和矿产资源、国有产权和国有资产交易以及特殊资源、特许经营权出（转）让等公共资源交易提供现场服务。</w:t>
      </w:r>
    </w:p>
    <w:p w14:paraId="07EC3CC0">
      <w:pPr>
        <w:pStyle w:val="2"/>
        <w:keepNext w:val="0"/>
        <w:keepLines w:val="0"/>
        <w:widowControl/>
        <w:suppressLineNumbers w:val="0"/>
        <w:spacing w:before="75" w:beforeAutospacing="0" w:after="210" w:afterAutospacing="0"/>
        <w:ind w:left="0" w:right="0"/>
      </w:pPr>
    </w:p>
    <w:p w14:paraId="7A497AA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５.核查进场交易项目相关手续和参与交易活动各方主体资格。</w:t>
      </w:r>
    </w:p>
    <w:p w14:paraId="78474046">
      <w:pPr>
        <w:pStyle w:val="2"/>
        <w:keepNext w:val="0"/>
        <w:keepLines w:val="0"/>
        <w:widowControl/>
        <w:suppressLineNumbers w:val="0"/>
        <w:spacing w:before="75" w:beforeAutospacing="0" w:after="210" w:afterAutospacing="0"/>
        <w:ind w:left="0" w:right="0"/>
      </w:pPr>
    </w:p>
    <w:p w14:paraId="57466E0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６.负责对进入区公共资源交易平台的交易各方进行现场监管，记录、制止和纠正违反交易现场管理制度的行为。</w:t>
      </w:r>
    </w:p>
    <w:p w14:paraId="34997107">
      <w:pPr>
        <w:pStyle w:val="2"/>
        <w:keepNext w:val="0"/>
        <w:keepLines w:val="0"/>
        <w:widowControl/>
        <w:suppressLineNumbers w:val="0"/>
        <w:spacing w:before="75" w:beforeAutospacing="0" w:after="210" w:afterAutospacing="0"/>
        <w:ind w:left="0" w:right="0"/>
      </w:pPr>
    </w:p>
    <w:p w14:paraId="513D7F5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７.承担区委、区政府及区招监委安排的其它工作。</w:t>
      </w:r>
    </w:p>
    <w:p w14:paraId="1B96E7E2">
      <w:pPr>
        <w:pStyle w:val="2"/>
        <w:keepNext w:val="0"/>
        <w:keepLines w:val="0"/>
        <w:widowControl/>
        <w:suppressLineNumbers w:val="0"/>
        <w:spacing w:before="75" w:beforeAutospacing="0" w:after="210" w:afterAutospacing="0"/>
        <w:ind w:left="0" w:right="0"/>
      </w:pPr>
    </w:p>
    <w:p w14:paraId="421811F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（三）人员概况。年末实有人数10人，其中：行政人员0人,非参公事业人员10人。</w:t>
      </w:r>
    </w:p>
    <w:p w14:paraId="50456448">
      <w:pPr>
        <w:pStyle w:val="2"/>
        <w:keepNext w:val="0"/>
        <w:keepLines w:val="0"/>
        <w:widowControl/>
        <w:suppressLineNumbers w:val="0"/>
        <w:spacing w:before="75" w:beforeAutospacing="0" w:after="210" w:afterAutospacing="0"/>
        <w:ind w:left="0" w:right="0"/>
      </w:pPr>
    </w:p>
    <w:p w14:paraId="4B021E4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二、部门财政资金收支情况</w:t>
      </w:r>
    </w:p>
    <w:p w14:paraId="5BC83661">
      <w:pPr>
        <w:pStyle w:val="2"/>
        <w:keepNext w:val="0"/>
        <w:keepLines w:val="0"/>
        <w:widowControl/>
        <w:suppressLineNumbers w:val="0"/>
        <w:spacing w:before="75" w:beforeAutospacing="0" w:after="210" w:afterAutospacing="0"/>
        <w:ind w:left="0" w:right="0"/>
      </w:pPr>
    </w:p>
    <w:p w14:paraId="3777311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（一）部门财政资金收入情况。本单位2020年财政总207.91万元，其中：一般公共预算财政拨款收入191.93万元，占92.32%；政府性基金预算财政拨款收入15.97万元，占7.68%。</w:t>
      </w:r>
    </w:p>
    <w:p w14:paraId="2B683B88">
      <w:pPr>
        <w:pStyle w:val="2"/>
        <w:keepNext w:val="0"/>
        <w:keepLines w:val="0"/>
        <w:widowControl/>
        <w:suppressLineNumbers w:val="0"/>
        <w:spacing w:before="75" w:beforeAutospacing="0" w:after="210" w:afterAutospacing="0"/>
        <w:ind w:left="0" w:right="0"/>
      </w:pPr>
    </w:p>
    <w:p w14:paraId="36CDCAE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（二）部门财政资金支出情况。本单位2020年总支出210.89万元，其中商品和服务支出87.59万元，占比41.53%。</w:t>
      </w:r>
    </w:p>
    <w:p w14:paraId="57A8A663">
      <w:pPr>
        <w:pStyle w:val="2"/>
        <w:keepNext w:val="0"/>
        <w:keepLines w:val="0"/>
        <w:widowControl/>
        <w:suppressLineNumbers w:val="0"/>
        <w:spacing w:before="75" w:beforeAutospacing="0" w:after="210" w:afterAutospacing="0"/>
        <w:ind w:left="0" w:right="0"/>
      </w:pPr>
    </w:p>
    <w:p w14:paraId="09AACA0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三、部门财政支出管理情况</w:t>
      </w:r>
    </w:p>
    <w:p w14:paraId="76856A4E">
      <w:pPr>
        <w:pStyle w:val="2"/>
        <w:keepNext w:val="0"/>
        <w:keepLines w:val="0"/>
        <w:widowControl/>
        <w:suppressLineNumbers w:val="0"/>
        <w:spacing w:before="75" w:beforeAutospacing="0" w:after="210" w:afterAutospacing="0"/>
        <w:ind w:left="0" w:right="0"/>
      </w:pPr>
    </w:p>
    <w:p w14:paraId="2650ED5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（一）预决算编制情况。</w:t>
      </w:r>
    </w:p>
    <w:p w14:paraId="53CE08AE">
      <w:pPr>
        <w:pStyle w:val="2"/>
        <w:keepNext w:val="0"/>
        <w:keepLines w:val="0"/>
        <w:widowControl/>
        <w:suppressLineNumbers w:val="0"/>
        <w:spacing w:before="75" w:beforeAutospacing="0" w:after="210" w:afterAutospacing="0"/>
        <w:ind w:left="0" w:right="0"/>
      </w:pPr>
    </w:p>
    <w:p w14:paraId="7A740EF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1.本单位严格根据国家有关方针、政策，按照上级下达的事业计划、任务，本着收支平衡的原则，编制预算。</w:t>
      </w:r>
    </w:p>
    <w:p w14:paraId="40B4121E">
      <w:pPr>
        <w:pStyle w:val="2"/>
        <w:keepNext w:val="0"/>
        <w:keepLines w:val="0"/>
        <w:widowControl/>
        <w:suppressLineNumbers w:val="0"/>
        <w:spacing w:before="75" w:beforeAutospacing="0" w:after="210" w:afterAutospacing="0"/>
        <w:ind w:left="0" w:right="0"/>
      </w:pPr>
    </w:p>
    <w:p w14:paraId="18737F4F">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本单位严格执行预算编制程序，依据单位的年度工作计划，由财会部门、业务部门共同研究，报单位领导审核后，编制单位预算指标建议数，报经上级审核下达经费指标后再调整编制正式预算，报经上级批准后，由财会部门掌握执行。</w:t>
      </w:r>
    </w:p>
    <w:p w14:paraId="5F3963D0">
      <w:pPr>
        <w:pStyle w:val="2"/>
        <w:keepNext w:val="0"/>
        <w:keepLines w:val="0"/>
        <w:widowControl/>
        <w:suppressLineNumbers w:val="0"/>
        <w:spacing w:before="75" w:beforeAutospacing="0" w:after="210" w:afterAutospacing="0"/>
        <w:ind w:left="0" w:right="0"/>
      </w:pPr>
    </w:p>
    <w:p w14:paraId="2FE21BD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3.本单位在预决算编制过程中全面实行项目及总体绩效评价目标。</w:t>
      </w:r>
    </w:p>
    <w:p w14:paraId="1D862592">
      <w:pPr>
        <w:pStyle w:val="2"/>
        <w:keepNext w:val="0"/>
        <w:keepLines w:val="0"/>
        <w:widowControl/>
        <w:suppressLineNumbers w:val="0"/>
        <w:spacing w:before="75" w:beforeAutospacing="0" w:after="210" w:afterAutospacing="0"/>
        <w:ind w:left="0" w:right="0"/>
      </w:pPr>
    </w:p>
    <w:p w14:paraId="1DDCC1F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（二）执行管理情况</w:t>
      </w:r>
    </w:p>
    <w:p w14:paraId="5B3ADDEB">
      <w:pPr>
        <w:pStyle w:val="2"/>
        <w:keepNext w:val="0"/>
        <w:keepLines w:val="0"/>
        <w:widowControl/>
        <w:suppressLineNumbers w:val="0"/>
        <w:spacing w:before="75" w:beforeAutospacing="0" w:after="210" w:afterAutospacing="0"/>
        <w:ind w:left="0" w:right="0"/>
      </w:pPr>
    </w:p>
    <w:p w14:paraId="4294ED5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1.单位严格按照预决算管理制度执行，依法依规及时分配上级专项资金，专项资金使用完成情况100%。</w:t>
      </w:r>
    </w:p>
    <w:p w14:paraId="62E53382">
      <w:pPr>
        <w:pStyle w:val="2"/>
        <w:keepNext w:val="0"/>
        <w:keepLines w:val="0"/>
        <w:widowControl/>
        <w:suppressLineNumbers w:val="0"/>
        <w:spacing w:before="75" w:beforeAutospacing="0" w:after="210" w:afterAutospacing="0"/>
        <w:ind w:left="0" w:right="0"/>
      </w:pPr>
    </w:p>
    <w:p w14:paraId="3E4C550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2.严格按照中央八项规定等政策文件的规定开展日常工作。</w:t>
      </w:r>
    </w:p>
    <w:p w14:paraId="49472B51">
      <w:pPr>
        <w:pStyle w:val="2"/>
        <w:keepNext w:val="0"/>
        <w:keepLines w:val="0"/>
        <w:widowControl/>
        <w:suppressLineNumbers w:val="0"/>
        <w:spacing w:before="75" w:beforeAutospacing="0" w:after="210" w:afterAutospacing="0"/>
        <w:ind w:left="0" w:right="0"/>
      </w:pPr>
    </w:p>
    <w:p w14:paraId="50E3FBE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（三）综合管理情况</w:t>
      </w:r>
    </w:p>
    <w:p w14:paraId="1978D34F">
      <w:pPr>
        <w:pStyle w:val="2"/>
        <w:keepNext w:val="0"/>
        <w:keepLines w:val="0"/>
        <w:widowControl/>
        <w:suppressLineNumbers w:val="0"/>
        <w:spacing w:before="75" w:beforeAutospacing="0" w:after="210" w:afterAutospacing="0"/>
        <w:ind w:left="0" w:right="0"/>
      </w:pPr>
    </w:p>
    <w:p w14:paraId="1A9161E0">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1.严格按照政府采购相关制度要求，事前编制采购预算，事中编制采购计划，严控采购流程和招投标工作。</w:t>
      </w:r>
    </w:p>
    <w:p w14:paraId="0CA4DACF">
      <w:pPr>
        <w:pStyle w:val="2"/>
        <w:keepNext w:val="0"/>
        <w:keepLines w:val="0"/>
        <w:widowControl/>
        <w:suppressLineNumbers w:val="0"/>
        <w:spacing w:before="75" w:beforeAutospacing="0" w:after="210" w:afterAutospacing="0"/>
        <w:ind w:left="0" w:right="0"/>
      </w:pPr>
    </w:p>
    <w:p w14:paraId="6F677D3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建立完善的资产管理制度，资产全面实行卡片管理，做到“一物一卡”，严格按照《沙湾区办公设备和办公家具配置标准》配置资产。购买资产严格履行审批手续，由单位申请，国资办审核后按要求进行采购。资产处置管理，严格按照《乐山沙湾区行政事业单位资产处置管理办法》，规范资产处置行为。严格执行“单位负责人—资产管理人—资产使用人”岗位责任制，实行专人负责、动态管理，对配备给个人使用的固定资产或物品实行领用交还制度。为便于管理，所有办公设备及办公家具均贴固定资产标签，明确资产名称、分类、购入时间、资产使用人等基本信息。</w:t>
      </w:r>
    </w:p>
    <w:p w14:paraId="3FDEAB63">
      <w:pPr>
        <w:pStyle w:val="2"/>
        <w:keepNext w:val="0"/>
        <w:keepLines w:val="0"/>
        <w:widowControl/>
        <w:suppressLineNumbers w:val="0"/>
        <w:spacing w:before="75" w:beforeAutospacing="0" w:after="210" w:afterAutospacing="0"/>
        <w:ind w:left="0" w:right="0"/>
      </w:pPr>
    </w:p>
    <w:p w14:paraId="3CB5198A">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3.本单位内部建立专门的管理制度规范内部控制工作的开展，包括岗位人员责任岗位分离制度、收入支出管理制度、财务档案管理、票据管理、财务印章管理、专项资金管理制度办法等。</w:t>
      </w:r>
    </w:p>
    <w:p w14:paraId="778F55F7">
      <w:pPr>
        <w:pStyle w:val="2"/>
        <w:keepNext w:val="0"/>
        <w:keepLines w:val="0"/>
        <w:widowControl/>
        <w:suppressLineNumbers w:val="0"/>
        <w:spacing w:before="75" w:beforeAutospacing="0" w:after="210" w:afterAutospacing="0"/>
        <w:ind w:left="0" w:right="0"/>
      </w:pPr>
    </w:p>
    <w:p w14:paraId="02D6AAE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4.本单位严格执行预决算公开制度。</w:t>
      </w:r>
    </w:p>
    <w:p w14:paraId="4749C40A">
      <w:pPr>
        <w:pStyle w:val="2"/>
        <w:keepNext w:val="0"/>
        <w:keepLines w:val="0"/>
        <w:widowControl/>
        <w:suppressLineNumbers w:val="0"/>
        <w:spacing w:before="75" w:beforeAutospacing="0" w:after="210" w:afterAutospacing="0"/>
        <w:ind w:left="0" w:right="0"/>
      </w:pPr>
    </w:p>
    <w:p w14:paraId="25AB1E2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5.本单位在预决算编制过程中全面实行项目及总体绩效评价目标填报及按要求报送绩效自评报告。</w:t>
      </w:r>
    </w:p>
    <w:p w14:paraId="1BE02A83">
      <w:pPr>
        <w:pStyle w:val="2"/>
        <w:keepNext w:val="0"/>
        <w:keepLines w:val="0"/>
        <w:widowControl/>
        <w:suppressLineNumbers w:val="0"/>
        <w:spacing w:before="75" w:beforeAutospacing="0" w:after="210" w:afterAutospacing="0"/>
        <w:ind w:left="0" w:right="0"/>
      </w:pPr>
    </w:p>
    <w:p w14:paraId="1C5EBE8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6.本单位全面接受财政监督检查，在2020年的各项检查中无违规违纪现象。</w:t>
      </w:r>
    </w:p>
    <w:p w14:paraId="532AB0ED">
      <w:pPr>
        <w:pStyle w:val="2"/>
        <w:keepNext w:val="0"/>
        <w:keepLines w:val="0"/>
        <w:widowControl/>
        <w:suppressLineNumbers w:val="0"/>
        <w:spacing w:before="75" w:beforeAutospacing="0" w:after="210" w:afterAutospacing="0"/>
        <w:ind w:left="0" w:right="0"/>
      </w:pPr>
    </w:p>
    <w:p w14:paraId="603EA3D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（四）整体绩效。</w:t>
      </w:r>
    </w:p>
    <w:p w14:paraId="44AAFFE3">
      <w:pPr>
        <w:pStyle w:val="2"/>
        <w:keepNext w:val="0"/>
        <w:keepLines w:val="0"/>
        <w:widowControl/>
        <w:suppressLineNumbers w:val="0"/>
        <w:spacing w:before="75" w:beforeAutospacing="0" w:after="210" w:afterAutospacing="0"/>
        <w:ind w:left="0" w:right="0"/>
      </w:pPr>
    </w:p>
    <w:p w14:paraId="36DB0BC6">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切实遵循“公平、公开、公正”原则，“廉洁”是基础，我中心积极抓好反腐败和风险防控工作，努力打造阳光交易平台。一是制度防腐：将党风廉政建设和反腐败工作作为日常干部职工教育的重要内容，并列入绩效管理考核，排查廉政风险点，有的放矢制定防控措施、堵住风险漏洞，从制度上保证反腐败取得实效。二是科技防腐：加强公共资源交易电子化平台建设，完善了开、评标室电子监控系统，实现了开评标全程监控可追溯。三是推行办事公开：利用沙湾门户网站、政府采购网、公共资源交易网站、电子显示屏、办事手册，实行办理事项公开、办理程序公开、申报材料公开、收费标准公开、承诺时限公开，增强中心工作透明度。四是设立党风廉政</w:t>
      </w:r>
      <w:r>
        <w:rPr>
          <w:rFonts w:hint="eastAsia" w:ascii="宋体" w:hAnsi="宋体" w:eastAsia="宋体" w:cs="宋体"/>
          <w:sz w:val="28"/>
          <w:szCs w:val="28"/>
          <w:lang w:val="en-US" w:eastAsia="zh-CN"/>
        </w:rPr>
        <w:t>建设</w:t>
      </w:r>
      <w:bookmarkStart w:id="0" w:name="_GoBack"/>
      <w:bookmarkEnd w:id="0"/>
      <w:r>
        <w:rPr>
          <w:rFonts w:hint="eastAsia" w:ascii="宋体" w:hAnsi="宋体" w:eastAsia="宋体" w:cs="宋体"/>
          <w:sz w:val="28"/>
          <w:szCs w:val="28"/>
        </w:rPr>
        <w:t>意见收集箱,及时收集并整改工作中存在的问题，进一步提升服务水平。五是开展“廉洁交易测评”，面向业主单位、评审专家及投标供应商，项目属性全覆盖，内容涵盖全流程，今年共发放测评表百余份，结果反馈满意度良好。</w:t>
      </w:r>
    </w:p>
    <w:p w14:paraId="117A0784">
      <w:pPr>
        <w:pStyle w:val="2"/>
        <w:keepNext w:val="0"/>
        <w:keepLines w:val="0"/>
        <w:widowControl/>
        <w:suppressLineNumbers w:val="0"/>
        <w:spacing w:before="75" w:beforeAutospacing="0" w:after="210" w:afterAutospacing="0"/>
        <w:ind w:left="0" w:right="0"/>
      </w:pPr>
    </w:p>
    <w:p w14:paraId="5FA5771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四、评价结论及建议</w:t>
      </w:r>
    </w:p>
    <w:p w14:paraId="6D4F4B2D">
      <w:pPr>
        <w:pStyle w:val="2"/>
        <w:keepNext w:val="0"/>
        <w:keepLines w:val="0"/>
        <w:widowControl/>
        <w:suppressLineNumbers w:val="0"/>
        <w:spacing w:before="75" w:beforeAutospacing="0" w:after="210" w:afterAutospacing="0"/>
        <w:ind w:left="0" w:right="0"/>
      </w:pPr>
    </w:p>
    <w:p w14:paraId="0295F79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（一）评价结论。</w:t>
      </w:r>
    </w:p>
    <w:p w14:paraId="65408104">
      <w:pPr>
        <w:pStyle w:val="2"/>
        <w:keepNext w:val="0"/>
        <w:keepLines w:val="0"/>
        <w:widowControl/>
        <w:suppressLineNumbers w:val="0"/>
        <w:spacing w:before="75" w:beforeAutospacing="0" w:after="210" w:afterAutospacing="0"/>
        <w:ind w:left="0" w:right="0"/>
      </w:pPr>
    </w:p>
    <w:p w14:paraId="6BFCCBE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本单位履行职责职能,严格按预算法及区委区政府的要求编制预决算、按财经法规及制度使用、管理资金,成效明显,主要体现在以下几个方面：</w:t>
      </w:r>
    </w:p>
    <w:p w14:paraId="5FAFF99F">
      <w:pPr>
        <w:pStyle w:val="2"/>
        <w:keepNext w:val="0"/>
        <w:keepLines w:val="0"/>
        <w:widowControl/>
        <w:suppressLineNumbers w:val="0"/>
        <w:spacing w:before="75" w:beforeAutospacing="0" w:after="210" w:afterAutospacing="0"/>
        <w:ind w:left="0" w:right="0"/>
      </w:pPr>
    </w:p>
    <w:p w14:paraId="7AC83F9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1.资金使用效益合理有效，保障了财政供养人员的日常开支，资金使用无虚列支出及随意使用现象,无大额现金支付现象。</w:t>
      </w:r>
    </w:p>
    <w:p w14:paraId="0E81C4ED">
      <w:pPr>
        <w:pStyle w:val="2"/>
        <w:keepNext w:val="0"/>
        <w:keepLines w:val="0"/>
        <w:widowControl/>
        <w:suppressLineNumbers w:val="0"/>
        <w:spacing w:before="75" w:beforeAutospacing="0" w:after="210" w:afterAutospacing="0"/>
        <w:ind w:left="0" w:right="0"/>
      </w:pPr>
    </w:p>
    <w:p w14:paraId="553E015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2.资金使用社会效益好。</w:t>
      </w:r>
    </w:p>
    <w:p w14:paraId="16FE9028">
      <w:pPr>
        <w:pStyle w:val="2"/>
        <w:keepNext w:val="0"/>
        <w:keepLines w:val="0"/>
        <w:widowControl/>
        <w:suppressLineNumbers w:val="0"/>
        <w:spacing w:before="75" w:beforeAutospacing="0" w:after="210" w:afterAutospacing="0"/>
        <w:ind w:left="0" w:right="0"/>
      </w:pPr>
    </w:p>
    <w:p w14:paraId="36A8BB4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3.根据财政整体支出绩效评价的内容要求，本单位的自查结果为“良”。</w:t>
      </w:r>
    </w:p>
    <w:p w14:paraId="496539C6">
      <w:pPr>
        <w:pStyle w:val="2"/>
        <w:keepNext w:val="0"/>
        <w:keepLines w:val="0"/>
        <w:widowControl/>
        <w:suppressLineNumbers w:val="0"/>
        <w:spacing w:before="75" w:beforeAutospacing="0" w:after="210" w:afterAutospacing="0"/>
        <w:ind w:left="0" w:right="0"/>
      </w:pPr>
    </w:p>
    <w:p w14:paraId="58CFAA1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（二）存在问题。</w:t>
      </w:r>
    </w:p>
    <w:p w14:paraId="0B148C3B">
      <w:pPr>
        <w:pStyle w:val="2"/>
        <w:keepNext w:val="0"/>
        <w:keepLines w:val="0"/>
        <w:widowControl/>
        <w:suppressLineNumbers w:val="0"/>
        <w:spacing w:before="75" w:beforeAutospacing="0" w:after="210" w:afterAutospacing="0"/>
        <w:ind w:left="0" w:right="0"/>
      </w:pPr>
    </w:p>
    <w:p w14:paraId="5BE807E5">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本部门收入支出预决算差异过大，未能准确编制预算，预算编制精细化称度有待提高。</w:t>
      </w:r>
    </w:p>
    <w:p w14:paraId="3BCFE09F">
      <w:pPr>
        <w:pStyle w:val="2"/>
        <w:keepNext w:val="0"/>
        <w:keepLines w:val="0"/>
        <w:widowControl/>
        <w:suppressLineNumbers w:val="0"/>
        <w:spacing w:before="75" w:beforeAutospacing="0" w:after="210" w:afterAutospacing="0"/>
        <w:ind w:left="0" w:right="0"/>
      </w:pPr>
    </w:p>
    <w:p w14:paraId="0CED554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（三）改进建议。</w:t>
      </w:r>
    </w:p>
    <w:p w14:paraId="4C2A6096">
      <w:pPr>
        <w:pStyle w:val="2"/>
        <w:keepNext w:val="0"/>
        <w:keepLines w:val="0"/>
        <w:widowControl/>
        <w:suppressLineNumbers w:val="0"/>
        <w:spacing w:before="75" w:beforeAutospacing="0" w:after="210" w:afterAutospacing="0"/>
        <w:ind w:left="0" w:right="0"/>
      </w:pPr>
    </w:p>
    <w:p w14:paraId="66464C3D">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在今后的工作一方面要严格预算编制，做到细化精确，另一方面按照“统筹兼顾、勤俭节约、量力而行、讲求绩效、收支平衡”的原则，根据项目实施进度和实际需求安排预算。</w:t>
      </w:r>
    </w:p>
    <w:p w14:paraId="26253C4F">
      <w:pPr>
        <w:pStyle w:val="2"/>
        <w:keepNext w:val="0"/>
        <w:keepLines w:val="0"/>
        <w:widowControl/>
        <w:suppressLineNumbers w:val="0"/>
        <w:spacing w:before="75" w:beforeAutospacing="0" w:after="210" w:afterAutospacing="0"/>
        <w:ind w:left="0" w:right="0"/>
      </w:pPr>
    </w:p>
    <w:p w14:paraId="20899CE7">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第五部分 附表</w:t>
      </w:r>
    </w:p>
    <w:p w14:paraId="28874D62">
      <w:pPr>
        <w:pStyle w:val="2"/>
        <w:keepNext w:val="0"/>
        <w:keepLines w:val="0"/>
        <w:widowControl/>
        <w:suppressLineNumbers w:val="0"/>
        <w:spacing w:before="75" w:beforeAutospacing="0" w:after="210" w:afterAutospacing="0"/>
        <w:ind w:left="0" w:right="0"/>
      </w:pPr>
    </w:p>
    <w:p w14:paraId="39B48D1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一、收入支出决算总表</w:t>
      </w:r>
    </w:p>
    <w:p w14:paraId="3A62E827">
      <w:pPr>
        <w:pStyle w:val="2"/>
        <w:keepNext w:val="0"/>
        <w:keepLines w:val="0"/>
        <w:widowControl/>
        <w:suppressLineNumbers w:val="0"/>
        <w:spacing w:before="75" w:beforeAutospacing="0" w:after="210" w:afterAutospacing="0"/>
        <w:ind w:left="0" w:right="0"/>
      </w:pPr>
    </w:p>
    <w:p w14:paraId="4EAF160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二、收入决算表</w:t>
      </w:r>
    </w:p>
    <w:p w14:paraId="4E479F2D">
      <w:pPr>
        <w:pStyle w:val="2"/>
        <w:keepNext w:val="0"/>
        <w:keepLines w:val="0"/>
        <w:widowControl/>
        <w:suppressLineNumbers w:val="0"/>
        <w:spacing w:before="75" w:beforeAutospacing="0" w:after="210" w:afterAutospacing="0"/>
        <w:ind w:left="0" w:right="0"/>
      </w:pPr>
    </w:p>
    <w:p w14:paraId="7AB45E2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三、支出决算表</w:t>
      </w:r>
    </w:p>
    <w:p w14:paraId="282D90D6">
      <w:pPr>
        <w:pStyle w:val="2"/>
        <w:keepNext w:val="0"/>
        <w:keepLines w:val="0"/>
        <w:widowControl/>
        <w:suppressLineNumbers w:val="0"/>
        <w:spacing w:before="75" w:beforeAutospacing="0" w:after="210" w:afterAutospacing="0"/>
        <w:ind w:left="0" w:right="0"/>
      </w:pPr>
    </w:p>
    <w:p w14:paraId="03A0A95C">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四、财政拨款收入支出决算总表</w:t>
      </w:r>
    </w:p>
    <w:p w14:paraId="17BCCE19">
      <w:pPr>
        <w:pStyle w:val="2"/>
        <w:keepNext w:val="0"/>
        <w:keepLines w:val="0"/>
        <w:widowControl/>
        <w:suppressLineNumbers w:val="0"/>
        <w:spacing w:before="75" w:beforeAutospacing="0" w:after="210" w:afterAutospacing="0"/>
        <w:ind w:left="0" w:right="0"/>
      </w:pPr>
    </w:p>
    <w:p w14:paraId="32D6B54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五、财政拨款支出决算明细表</w:t>
      </w:r>
    </w:p>
    <w:p w14:paraId="78AC8AAD">
      <w:pPr>
        <w:pStyle w:val="2"/>
        <w:keepNext w:val="0"/>
        <w:keepLines w:val="0"/>
        <w:widowControl/>
        <w:suppressLineNumbers w:val="0"/>
        <w:spacing w:before="75" w:beforeAutospacing="0" w:after="210" w:afterAutospacing="0"/>
        <w:ind w:left="0" w:right="0"/>
      </w:pPr>
    </w:p>
    <w:p w14:paraId="051E33C9">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六、一般公共预算财政拨款支出决算表</w:t>
      </w:r>
    </w:p>
    <w:p w14:paraId="2DE325AB">
      <w:pPr>
        <w:pStyle w:val="2"/>
        <w:keepNext w:val="0"/>
        <w:keepLines w:val="0"/>
        <w:widowControl/>
        <w:suppressLineNumbers w:val="0"/>
        <w:spacing w:before="75" w:beforeAutospacing="0" w:after="210" w:afterAutospacing="0"/>
        <w:ind w:left="0" w:right="0"/>
      </w:pPr>
    </w:p>
    <w:p w14:paraId="3074263B">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七、一般公共预算财政拨款支出决算明细表</w:t>
      </w:r>
    </w:p>
    <w:p w14:paraId="70736F7D">
      <w:pPr>
        <w:pStyle w:val="2"/>
        <w:keepNext w:val="0"/>
        <w:keepLines w:val="0"/>
        <w:widowControl/>
        <w:suppressLineNumbers w:val="0"/>
        <w:spacing w:before="75" w:beforeAutospacing="0" w:after="210" w:afterAutospacing="0"/>
        <w:ind w:left="0" w:right="0"/>
      </w:pPr>
    </w:p>
    <w:p w14:paraId="096608D8">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八、一般公共预算财政拨款基本支出决算表</w:t>
      </w:r>
    </w:p>
    <w:p w14:paraId="32FFE8D6">
      <w:pPr>
        <w:pStyle w:val="2"/>
        <w:keepNext w:val="0"/>
        <w:keepLines w:val="0"/>
        <w:widowControl/>
        <w:suppressLineNumbers w:val="0"/>
        <w:spacing w:before="75" w:beforeAutospacing="0" w:after="210" w:afterAutospacing="0"/>
        <w:ind w:left="0" w:right="0"/>
      </w:pPr>
    </w:p>
    <w:p w14:paraId="3702EEF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九、一般公共预算财政拨款项目支出决算表</w:t>
      </w:r>
    </w:p>
    <w:p w14:paraId="1F82E705">
      <w:pPr>
        <w:pStyle w:val="2"/>
        <w:keepNext w:val="0"/>
        <w:keepLines w:val="0"/>
        <w:widowControl/>
        <w:suppressLineNumbers w:val="0"/>
        <w:spacing w:before="75" w:beforeAutospacing="0" w:after="210" w:afterAutospacing="0"/>
        <w:ind w:left="0" w:right="0"/>
      </w:pPr>
    </w:p>
    <w:p w14:paraId="76B21AA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十、一般公共预算财政拨款“三公”经费支出决算表</w:t>
      </w:r>
    </w:p>
    <w:p w14:paraId="2143077A">
      <w:pPr>
        <w:pStyle w:val="2"/>
        <w:keepNext w:val="0"/>
        <w:keepLines w:val="0"/>
        <w:widowControl/>
        <w:suppressLineNumbers w:val="0"/>
        <w:spacing w:before="75" w:beforeAutospacing="0" w:after="210" w:afterAutospacing="0"/>
        <w:ind w:left="0" w:right="0"/>
      </w:pPr>
    </w:p>
    <w:p w14:paraId="0F090082">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十一、政府性基金预算财政拨款收入支出决算表</w:t>
      </w:r>
    </w:p>
    <w:p w14:paraId="4EF8FC94">
      <w:pPr>
        <w:pStyle w:val="2"/>
        <w:keepNext w:val="0"/>
        <w:keepLines w:val="0"/>
        <w:widowControl/>
        <w:suppressLineNumbers w:val="0"/>
        <w:spacing w:before="75" w:beforeAutospacing="0" w:after="210" w:afterAutospacing="0"/>
        <w:ind w:left="0" w:right="0"/>
      </w:pPr>
    </w:p>
    <w:p w14:paraId="2D375F81">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十二、政府性基金预算财政拨款“三公”经费支出决算表</w:t>
      </w:r>
    </w:p>
    <w:p w14:paraId="6E1BFB5D">
      <w:pPr>
        <w:pStyle w:val="2"/>
        <w:keepNext w:val="0"/>
        <w:keepLines w:val="0"/>
        <w:widowControl/>
        <w:suppressLineNumbers w:val="0"/>
        <w:spacing w:before="75" w:beforeAutospacing="0" w:after="210" w:afterAutospacing="0"/>
        <w:ind w:left="0" w:right="0"/>
      </w:pPr>
    </w:p>
    <w:p w14:paraId="4CF70EC3">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十三、国有资本经营预算财政拨款收入支出决算表</w:t>
      </w:r>
    </w:p>
    <w:p w14:paraId="3A3D3762">
      <w:pPr>
        <w:pStyle w:val="2"/>
        <w:keepNext w:val="0"/>
        <w:keepLines w:val="0"/>
        <w:widowControl/>
        <w:suppressLineNumbers w:val="0"/>
        <w:spacing w:before="75" w:beforeAutospacing="0" w:after="210" w:afterAutospacing="0"/>
        <w:ind w:left="0" w:right="0"/>
      </w:pPr>
    </w:p>
    <w:p w14:paraId="74E4D33E">
      <w:pPr>
        <w:pStyle w:val="2"/>
        <w:keepNext w:val="0"/>
        <w:keepLines w:val="0"/>
        <w:widowControl/>
        <w:suppressLineNumbers w:val="0"/>
        <w:spacing w:before="75" w:beforeAutospacing="0" w:after="210" w:afterAutospacing="0" w:line="360" w:lineRule="atLeast"/>
        <w:ind w:left="0" w:right="0" w:firstLine="420"/>
        <w:jc w:val="left"/>
        <w:rPr>
          <w:sz w:val="18"/>
          <w:szCs w:val="18"/>
        </w:rPr>
      </w:pPr>
      <w:r>
        <w:rPr>
          <w:rFonts w:hint="eastAsia" w:ascii="宋体" w:hAnsi="宋体" w:eastAsia="宋体" w:cs="宋体"/>
          <w:sz w:val="28"/>
          <w:szCs w:val="28"/>
        </w:rPr>
        <w:t>十四、国有资本经营预算财政拨款支出决算表</w:t>
      </w:r>
    </w:p>
    <w:p w14:paraId="6FD90FA1">
      <w:pPr>
        <w:pStyle w:val="2"/>
        <w:keepNext w:val="0"/>
        <w:keepLines w:val="0"/>
        <w:widowControl/>
        <w:suppressLineNumbers w:val="0"/>
        <w:spacing w:before="75" w:beforeAutospacing="0" w:after="210" w:afterAutospacing="0"/>
        <w:ind w:left="0" w:right="0"/>
      </w:pPr>
    </w:p>
    <w:p w14:paraId="5BD6E4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0487F"/>
    <w:rsid w:val="27701926"/>
    <w:rsid w:val="2D473F24"/>
    <w:rsid w:val="59E0487F"/>
    <w:rsid w:val="68D0474A"/>
    <w:rsid w:val="7C2F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6460</Words>
  <Characters>7169</Characters>
  <Lines>0</Lines>
  <Paragraphs>0</Paragraphs>
  <TotalTime>4</TotalTime>
  <ScaleCrop>false</ScaleCrop>
  <LinksUpToDate>false</LinksUpToDate>
  <CharactersWithSpaces>7186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2026-07-27T08:42:00Z</dcterms:created>
  <dc:creator>李俐洁</dc:creator>
  <cp:lastModifiedBy>李怡</cp:lastModifiedBy>
  <dcterms:modified xsi:type="dcterms:W3CDTF">2026-07-28T06:13:01Z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FAD96C41B21B4DE9A7C2EE910B029D25_13</vt:lpwstr>
  </property>
  <property fmtid="{D5CDD505-2E9C-101B-9397-08002B2CF9AE}" pid="4" name="KSOTemplateDocerSaveRecord">
    <vt:lpwstr>eyJoZGlkIjoiMGMyY2Y5YmVkYzlkNjhkMmJkYjM1NjJjOTg4NDM5ZDMiLCJ1c2VySWQiOiIxNDg0MjA1MjUyIn0=</vt:lpwstr>
  </property>
</Properties>
</file>