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9"/>
        <w:rPr>
          <w:rFonts w:hint="eastAsia"/>
        </w:rPr>
      </w:pPr>
      <w:r>
        <w:rPr>
          <w:rFonts w:hint="eastAsia"/>
        </w:rPr>
        <w:t>附件4</w:t>
      </w:r>
    </w:p>
    <w:p>
      <w:pPr>
        <w:pStyle w:val="30"/>
        <w:rPr>
          <w:rFonts w:hint="eastAsia"/>
        </w:rPr>
      </w:pPr>
    </w:p>
    <w:p>
      <w:pPr>
        <w:pStyle w:val="30"/>
        <w:rPr>
          <w:rFonts w:ascii="仿宋_GB2312" w:eastAsia="仿宋_GB2312"/>
          <w:sz w:val="32"/>
          <w:szCs w:val="32"/>
        </w:rPr>
      </w:pPr>
      <w:r>
        <w:rPr>
          <w:rFonts w:hint="eastAsia"/>
        </w:rPr>
        <w:t>关于</w:t>
      </w:r>
      <w:r>
        <w:rPr>
          <w:rFonts w:hint="eastAsia"/>
          <w:lang w:eastAsia="zh-CN"/>
        </w:rPr>
        <w:t>乐山市沙湾区妇幼保健计划生育服务中心</w:t>
      </w:r>
      <w:r>
        <w:rPr>
          <w:rFonts w:hint="eastAsia"/>
        </w:rPr>
        <w:t>部门</w:t>
      </w:r>
      <w:r>
        <w:br w:type="textWrapping"/>
      </w:r>
      <w:r>
        <w:rPr>
          <w:rFonts w:hint="eastAsia"/>
        </w:rPr>
        <w:t>2021年部门预算编制的说明</w:t>
      </w:r>
    </w:p>
    <w:sdt>
      <w:sdtPr>
        <w:rPr>
          <w:rFonts w:ascii="宋体" w:hAnsi="宋体" w:eastAsia="宋体" w:cs="Times New Roman"/>
          <w:kern w:val="2"/>
          <w:sz w:val="21"/>
          <w:szCs w:val="24"/>
          <w:lang w:val="en-US" w:eastAsia="zh-CN" w:bidi="ar-SA"/>
        </w:rPr>
        <w:id w:val="147481569"/>
        <w15:color w:val="DBDBDB"/>
        <w:docPartObj>
          <w:docPartGallery w:val="Table of Contents"/>
          <w:docPartUnique/>
        </w:docPartObj>
      </w:sdtPr>
      <w:sdtEndPr>
        <w:rPr>
          <w:rFonts w:hint="eastAsia" w:ascii="仿宋_GB2312" w:hAnsi="Calibri" w:eastAsia="仿宋_GB2312" w:cs="Times New Roman"/>
          <w:b/>
          <w:kern w:val="2"/>
          <w:sz w:val="32"/>
          <w:szCs w:val="32"/>
          <w:lang w:val="en-US" w:eastAsia="zh-CN" w:bidi="ar-SA"/>
        </w:rPr>
      </w:sdtEndPr>
      <w:sdtContent>
        <w:p>
          <w:pPr>
            <w:spacing w:before="0" w:beforeLines="0" w:after="0" w:afterLines="0" w:line="240" w:lineRule="auto"/>
            <w:ind w:left="0" w:leftChars="0" w:right="0" w:rightChars="0" w:firstLine="0" w:firstLineChars="0"/>
            <w:jc w:val="center"/>
            <w:rPr>
              <w:sz w:val="36"/>
              <w:szCs w:val="44"/>
            </w:rPr>
          </w:pPr>
          <w:r>
            <w:rPr>
              <w:rFonts w:ascii="宋体" w:hAnsi="宋体" w:eastAsia="宋体"/>
              <w:sz w:val="36"/>
              <w:szCs w:val="44"/>
            </w:rPr>
            <w:t>目录</w:t>
          </w:r>
        </w:p>
        <w:p>
          <w:pPr>
            <w:pStyle w:val="65"/>
            <w:tabs>
              <w:tab w:val="right" w:leader="dot" w:pos="8958"/>
            </w:tabs>
            <w:rPr>
              <w:b/>
            </w:rPr>
          </w:pPr>
          <w:r>
            <w:rPr>
              <w:rFonts w:hint="eastAsia"/>
            </w:rPr>
            <w:fldChar w:fldCharType="begin"/>
          </w:r>
          <w:r>
            <w:rPr>
              <w:rFonts w:hint="eastAsia"/>
            </w:rPr>
            <w:instrText xml:space="preserve">TOC \o "1-2" \h \u </w:instrText>
          </w:r>
          <w:r>
            <w:rPr>
              <w:rFonts w:hint="eastAsia"/>
            </w:rPr>
            <w:fldChar w:fldCharType="separate"/>
          </w:r>
          <w:r>
            <w:rPr>
              <w:rFonts w:hint="eastAsia"/>
              <w:b/>
            </w:rPr>
            <w:fldChar w:fldCharType="begin"/>
          </w:r>
          <w:r>
            <w:rPr>
              <w:rFonts w:hint="eastAsia"/>
              <w:b/>
            </w:rPr>
            <w:instrText xml:space="preserve"> HYPERLINK \l _Toc20675 </w:instrText>
          </w:r>
          <w:r>
            <w:rPr>
              <w:rFonts w:hint="eastAsia"/>
              <w:b/>
            </w:rPr>
            <w:fldChar w:fldCharType="separate"/>
          </w:r>
          <w:r>
            <w:rPr>
              <w:rFonts w:hint="eastAsia"/>
              <w:b/>
            </w:rPr>
            <w:t>一、 基本职能及主要工作</w:t>
          </w:r>
          <w:r>
            <w:rPr>
              <w:b/>
            </w:rPr>
            <w:tab/>
          </w:r>
          <w:r>
            <w:rPr>
              <w:b/>
            </w:rPr>
            <w:fldChar w:fldCharType="begin"/>
          </w:r>
          <w:r>
            <w:rPr>
              <w:b/>
            </w:rPr>
            <w:instrText xml:space="preserve"> PAGEREF _Toc20675 \h </w:instrText>
          </w:r>
          <w:r>
            <w:rPr>
              <w:b/>
            </w:rPr>
            <w:fldChar w:fldCharType="separate"/>
          </w:r>
          <w:r>
            <w:rPr>
              <w:b/>
            </w:rPr>
            <w:t>1</w:t>
          </w:r>
          <w:r>
            <w:rPr>
              <w:b/>
            </w:rPr>
            <w:fldChar w:fldCharType="end"/>
          </w:r>
          <w:r>
            <w:rPr>
              <w:rFonts w:hint="eastAsia"/>
              <w:b/>
            </w:rPr>
            <w:fldChar w:fldCharType="end"/>
          </w:r>
        </w:p>
        <w:p>
          <w:pPr>
            <w:pStyle w:val="65"/>
            <w:tabs>
              <w:tab w:val="right" w:leader="dot" w:pos="8958"/>
            </w:tabs>
            <w:rPr>
              <w:b/>
            </w:rPr>
          </w:pPr>
          <w:r>
            <w:rPr>
              <w:rFonts w:hint="eastAsia"/>
              <w:b/>
            </w:rPr>
            <w:fldChar w:fldCharType="begin"/>
          </w:r>
          <w:r>
            <w:rPr>
              <w:rFonts w:hint="eastAsia"/>
              <w:b/>
            </w:rPr>
            <w:instrText xml:space="preserve"> HYPERLINK \l _Toc15913 </w:instrText>
          </w:r>
          <w:r>
            <w:rPr>
              <w:rFonts w:hint="eastAsia"/>
              <w:b/>
            </w:rPr>
            <w:fldChar w:fldCharType="separate"/>
          </w:r>
          <w:r>
            <w:rPr>
              <w:rFonts w:hint="eastAsia"/>
              <w:b/>
            </w:rPr>
            <w:t>二、 部门概况</w:t>
          </w:r>
          <w:r>
            <w:rPr>
              <w:b/>
            </w:rPr>
            <w:tab/>
          </w:r>
          <w:r>
            <w:rPr>
              <w:b/>
            </w:rPr>
            <w:fldChar w:fldCharType="begin"/>
          </w:r>
          <w:r>
            <w:rPr>
              <w:b/>
            </w:rPr>
            <w:instrText xml:space="preserve"> PAGEREF _Toc15913 \h </w:instrText>
          </w:r>
          <w:r>
            <w:rPr>
              <w:b/>
            </w:rPr>
            <w:fldChar w:fldCharType="separate"/>
          </w:r>
          <w:r>
            <w:rPr>
              <w:b/>
            </w:rPr>
            <w:t>2</w:t>
          </w:r>
          <w:r>
            <w:rPr>
              <w:b/>
            </w:rPr>
            <w:fldChar w:fldCharType="end"/>
          </w:r>
          <w:r>
            <w:rPr>
              <w:rFonts w:hint="eastAsia"/>
              <w:b/>
            </w:rPr>
            <w:fldChar w:fldCharType="end"/>
          </w:r>
        </w:p>
        <w:p>
          <w:pPr>
            <w:pStyle w:val="65"/>
            <w:tabs>
              <w:tab w:val="right" w:leader="dot" w:pos="8958"/>
            </w:tabs>
            <w:rPr>
              <w:b/>
            </w:rPr>
          </w:pPr>
          <w:r>
            <w:rPr>
              <w:rFonts w:hint="eastAsia"/>
              <w:b/>
            </w:rPr>
            <w:fldChar w:fldCharType="begin"/>
          </w:r>
          <w:r>
            <w:rPr>
              <w:rFonts w:hint="eastAsia"/>
              <w:b/>
            </w:rPr>
            <w:instrText xml:space="preserve"> HYPERLINK \l _Toc27591 </w:instrText>
          </w:r>
          <w:r>
            <w:rPr>
              <w:rFonts w:hint="eastAsia"/>
              <w:b/>
            </w:rPr>
            <w:fldChar w:fldCharType="separate"/>
          </w:r>
          <w:r>
            <w:rPr>
              <w:rFonts w:hint="eastAsia"/>
              <w:b/>
            </w:rPr>
            <w:t>三、 收支预算总体情况</w:t>
          </w:r>
          <w:r>
            <w:rPr>
              <w:b/>
            </w:rPr>
            <w:tab/>
          </w:r>
          <w:r>
            <w:rPr>
              <w:b/>
            </w:rPr>
            <w:fldChar w:fldCharType="begin"/>
          </w:r>
          <w:r>
            <w:rPr>
              <w:b/>
            </w:rPr>
            <w:instrText xml:space="preserve"> PAGEREF _Toc27591 \h </w:instrText>
          </w:r>
          <w:r>
            <w:rPr>
              <w:b/>
            </w:rPr>
            <w:fldChar w:fldCharType="separate"/>
          </w:r>
          <w:r>
            <w:rPr>
              <w:b/>
            </w:rPr>
            <w:t>3</w:t>
          </w:r>
          <w:r>
            <w:rPr>
              <w:b/>
            </w:rPr>
            <w:fldChar w:fldCharType="end"/>
          </w:r>
          <w:r>
            <w:rPr>
              <w:rFonts w:hint="eastAsia"/>
              <w:b/>
            </w:rPr>
            <w:fldChar w:fldCharType="end"/>
          </w:r>
        </w:p>
        <w:p>
          <w:pPr>
            <w:pStyle w:val="65"/>
            <w:tabs>
              <w:tab w:val="right" w:leader="dot" w:pos="8958"/>
            </w:tabs>
            <w:rPr>
              <w:b/>
            </w:rPr>
          </w:pPr>
          <w:r>
            <w:rPr>
              <w:rFonts w:hint="eastAsia"/>
              <w:b/>
            </w:rPr>
            <w:fldChar w:fldCharType="begin"/>
          </w:r>
          <w:r>
            <w:rPr>
              <w:rFonts w:hint="eastAsia"/>
              <w:b/>
            </w:rPr>
            <w:instrText xml:space="preserve"> HYPERLINK \l _Toc18794 </w:instrText>
          </w:r>
          <w:r>
            <w:rPr>
              <w:rFonts w:hint="eastAsia"/>
              <w:b/>
            </w:rPr>
            <w:fldChar w:fldCharType="separate"/>
          </w:r>
          <w:r>
            <w:rPr>
              <w:rFonts w:hint="eastAsia"/>
              <w:b/>
            </w:rPr>
            <w:t>四、 财政拨款支出预算安排情况</w:t>
          </w:r>
          <w:r>
            <w:rPr>
              <w:b/>
            </w:rPr>
            <w:tab/>
          </w:r>
          <w:r>
            <w:rPr>
              <w:b/>
            </w:rPr>
            <w:fldChar w:fldCharType="begin"/>
          </w:r>
          <w:r>
            <w:rPr>
              <w:b/>
            </w:rPr>
            <w:instrText xml:space="preserve"> PAGEREF _Toc18794 \h </w:instrText>
          </w:r>
          <w:r>
            <w:rPr>
              <w:b/>
            </w:rPr>
            <w:fldChar w:fldCharType="separate"/>
          </w:r>
          <w:r>
            <w:rPr>
              <w:b/>
            </w:rPr>
            <w:t>3</w:t>
          </w:r>
          <w:r>
            <w:rPr>
              <w:b/>
            </w:rPr>
            <w:fldChar w:fldCharType="end"/>
          </w:r>
          <w:r>
            <w:rPr>
              <w:rFonts w:hint="eastAsia"/>
              <w:b/>
            </w:rPr>
            <w:fldChar w:fldCharType="end"/>
          </w:r>
        </w:p>
        <w:p>
          <w:pPr>
            <w:pStyle w:val="65"/>
            <w:tabs>
              <w:tab w:val="right" w:leader="dot" w:pos="8958"/>
            </w:tabs>
            <w:rPr>
              <w:b/>
            </w:rPr>
          </w:pPr>
          <w:r>
            <w:rPr>
              <w:rFonts w:hint="eastAsia"/>
              <w:b/>
            </w:rPr>
            <w:fldChar w:fldCharType="begin"/>
          </w:r>
          <w:r>
            <w:rPr>
              <w:rFonts w:hint="eastAsia"/>
              <w:b/>
            </w:rPr>
            <w:instrText xml:space="preserve"> HYPERLINK \l _Toc25918 </w:instrText>
          </w:r>
          <w:r>
            <w:rPr>
              <w:rFonts w:hint="eastAsia"/>
              <w:b/>
            </w:rPr>
            <w:fldChar w:fldCharType="separate"/>
          </w:r>
          <w:r>
            <w:rPr>
              <w:rFonts w:hint="eastAsia"/>
              <w:b/>
            </w:rPr>
            <w:t>五、 一般公共预算当年拨款情况说明</w:t>
          </w:r>
          <w:r>
            <w:rPr>
              <w:b/>
            </w:rPr>
            <w:tab/>
          </w:r>
          <w:r>
            <w:rPr>
              <w:b/>
            </w:rPr>
            <w:fldChar w:fldCharType="begin"/>
          </w:r>
          <w:r>
            <w:rPr>
              <w:b/>
            </w:rPr>
            <w:instrText xml:space="preserve"> PAGEREF _Toc25918 \h </w:instrText>
          </w:r>
          <w:r>
            <w:rPr>
              <w:b/>
            </w:rPr>
            <w:fldChar w:fldCharType="separate"/>
          </w:r>
          <w:r>
            <w:rPr>
              <w:b/>
            </w:rPr>
            <w:t>4</w:t>
          </w:r>
          <w:r>
            <w:rPr>
              <w:b/>
            </w:rPr>
            <w:fldChar w:fldCharType="end"/>
          </w:r>
          <w:r>
            <w:rPr>
              <w:rFonts w:hint="eastAsia"/>
              <w:b/>
            </w:rPr>
            <w:fldChar w:fldCharType="end"/>
          </w:r>
        </w:p>
        <w:p>
          <w:pPr>
            <w:pStyle w:val="66"/>
            <w:tabs>
              <w:tab w:val="right" w:leader="dot" w:pos="8958"/>
            </w:tabs>
          </w:pPr>
          <w:r>
            <w:rPr>
              <w:rFonts w:hint="eastAsia"/>
            </w:rPr>
            <w:fldChar w:fldCharType="begin"/>
          </w:r>
          <w:r>
            <w:rPr>
              <w:rFonts w:hint="eastAsia"/>
            </w:rPr>
            <w:instrText xml:space="preserve"> HYPERLINK \l _Toc31488 </w:instrText>
          </w:r>
          <w:r>
            <w:rPr>
              <w:rFonts w:hint="eastAsia"/>
            </w:rPr>
            <w:fldChar w:fldCharType="separate"/>
          </w:r>
          <w:r>
            <w:rPr>
              <w:rFonts w:hint="eastAsia"/>
              <w:lang w:val="en-US"/>
            </w:rPr>
            <w:t xml:space="preserve">（一） </w:t>
          </w:r>
          <w:r>
            <w:rPr>
              <w:rFonts w:hint="eastAsia"/>
            </w:rPr>
            <w:t>一般公共预算当年拨款规模及变化情况。</w:t>
          </w:r>
          <w:r>
            <w:tab/>
          </w:r>
          <w:r>
            <w:fldChar w:fldCharType="begin"/>
          </w:r>
          <w:r>
            <w:instrText xml:space="preserve"> PAGEREF _Toc31488 \h </w:instrText>
          </w:r>
          <w:r>
            <w:fldChar w:fldCharType="separate"/>
          </w:r>
          <w:r>
            <w:t>4</w:t>
          </w:r>
          <w:r>
            <w:fldChar w:fldCharType="end"/>
          </w:r>
          <w:r>
            <w:rPr>
              <w:rFonts w:hint="eastAsia"/>
            </w:rPr>
            <w:fldChar w:fldCharType="end"/>
          </w:r>
        </w:p>
        <w:p>
          <w:pPr>
            <w:pStyle w:val="66"/>
            <w:tabs>
              <w:tab w:val="right" w:leader="dot" w:pos="8958"/>
            </w:tabs>
          </w:pPr>
          <w:r>
            <w:rPr>
              <w:rFonts w:hint="eastAsia"/>
            </w:rPr>
            <w:fldChar w:fldCharType="begin"/>
          </w:r>
          <w:r>
            <w:rPr>
              <w:rFonts w:hint="eastAsia"/>
            </w:rPr>
            <w:instrText xml:space="preserve"> HYPERLINK \l _Toc10156 </w:instrText>
          </w:r>
          <w:r>
            <w:rPr>
              <w:rFonts w:hint="eastAsia"/>
            </w:rPr>
            <w:fldChar w:fldCharType="separate"/>
          </w:r>
          <w:r>
            <w:rPr>
              <w:rFonts w:hint="eastAsia"/>
              <w:lang w:val="en-US"/>
            </w:rPr>
            <w:t xml:space="preserve">（二） </w:t>
          </w:r>
          <w:r>
            <w:rPr>
              <w:rFonts w:hint="eastAsia"/>
            </w:rPr>
            <w:t>一般公共预算当年拨款结构情况。</w:t>
          </w:r>
          <w:r>
            <w:tab/>
          </w:r>
          <w:r>
            <w:fldChar w:fldCharType="begin"/>
          </w:r>
          <w:r>
            <w:instrText xml:space="preserve"> PAGEREF _Toc10156 \h </w:instrText>
          </w:r>
          <w:r>
            <w:fldChar w:fldCharType="separate"/>
          </w:r>
          <w:r>
            <w:t>4</w:t>
          </w:r>
          <w:r>
            <w:fldChar w:fldCharType="end"/>
          </w:r>
          <w:r>
            <w:rPr>
              <w:rFonts w:hint="eastAsia"/>
            </w:rPr>
            <w:fldChar w:fldCharType="end"/>
          </w:r>
        </w:p>
        <w:p>
          <w:pPr>
            <w:pStyle w:val="66"/>
            <w:tabs>
              <w:tab w:val="right" w:leader="dot" w:pos="8958"/>
            </w:tabs>
          </w:pPr>
          <w:r>
            <w:rPr>
              <w:rFonts w:hint="eastAsia"/>
            </w:rPr>
            <w:fldChar w:fldCharType="begin"/>
          </w:r>
          <w:r>
            <w:rPr>
              <w:rFonts w:hint="eastAsia"/>
            </w:rPr>
            <w:instrText xml:space="preserve"> HYPERLINK \l _Toc6844 </w:instrText>
          </w:r>
          <w:r>
            <w:rPr>
              <w:rFonts w:hint="eastAsia"/>
            </w:rPr>
            <w:fldChar w:fldCharType="separate"/>
          </w:r>
          <w:r>
            <w:rPr>
              <w:rFonts w:hint="eastAsia"/>
              <w:lang w:val="en-US"/>
            </w:rPr>
            <w:t xml:space="preserve">（三） </w:t>
          </w:r>
          <w:r>
            <w:rPr>
              <w:rFonts w:hint="eastAsia"/>
            </w:rPr>
            <w:t>一般公共预算当年拨款具体使用情况。</w:t>
          </w:r>
          <w:r>
            <w:tab/>
          </w:r>
          <w:r>
            <w:fldChar w:fldCharType="begin"/>
          </w:r>
          <w:r>
            <w:instrText xml:space="preserve"> PAGEREF _Toc6844 \h </w:instrText>
          </w:r>
          <w:r>
            <w:fldChar w:fldCharType="separate"/>
          </w:r>
          <w:r>
            <w:t>4</w:t>
          </w:r>
          <w:r>
            <w:fldChar w:fldCharType="end"/>
          </w:r>
          <w:r>
            <w:rPr>
              <w:rFonts w:hint="eastAsia"/>
            </w:rPr>
            <w:fldChar w:fldCharType="end"/>
          </w:r>
        </w:p>
        <w:p>
          <w:pPr>
            <w:pStyle w:val="65"/>
            <w:tabs>
              <w:tab w:val="right" w:leader="dot" w:pos="8958"/>
            </w:tabs>
            <w:rPr>
              <w:b/>
            </w:rPr>
          </w:pPr>
          <w:r>
            <w:rPr>
              <w:rFonts w:hint="eastAsia"/>
              <w:b/>
            </w:rPr>
            <w:fldChar w:fldCharType="begin"/>
          </w:r>
          <w:r>
            <w:rPr>
              <w:rFonts w:hint="eastAsia"/>
              <w:b/>
            </w:rPr>
            <w:instrText xml:space="preserve"> HYPERLINK \l _Toc19842 </w:instrText>
          </w:r>
          <w:r>
            <w:rPr>
              <w:rFonts w:hint="eastAsia"/>
              <w:b/>
            </w:rPr>
            <w:fldChar w:fldCharType="separate"/>
          </w:r>
          <w:r>
            <w:rPr>
              <w:rFonts w:hint="eastAsia"/>
              <w:b/>
            </w:rPr>
            <w:t>六、 一般公共预算基本支出情况说明</w:t>
          </w:r>
          <w:r>
            <w:rPr>
              <w:b/>
            </w:rPr>
            <w:tab/>
          </w:r>
          <w:r>
            <w:rPr>
              <w:b/>
            </w:rPr>
            <w:fldChar w:fldCharType="begin"/>
          </w:r>
          <w:r>
            <w:rPr>
              <w:b/>
            </w:rPr>
            <w:instrText xml:space="preserve"> PAGEREF _Toc19842 \h </w:instrText>
          </w:r>
          <w:r>
            <w:rPr>
              <w:b/>
            </w:rPr>
            <w:fldChar w:fldCharType="separate"/>
          </w:r>
          <w:r>
            <w:rPr>
              <w:b/>
            </w:rPr>
            <w:t>5</w:t>
          </w:r>
          <w:r>
            <w:rPr>
              <w:b/>
            </w:rPr>
            <w:fldChar w:fldCharType="end"/>
          </w:r>
          <w:r>
            <w:rPr>
              <w:rFonts w:hint="eastAsia"/>
              <w:b/>
            </w:rPr>
            <w:fldChar w:fldCharType="end"/>
          </w:r>
        </w:p>
        <w:p>
          <w:pPr>
            <w:pStyle w:val="65"/>
            <w:tabs>
              <w:tab w:val="right" w:leader="dot" w:pos="8958"/>
            </w:tabs>
            <w:rPr>
              <w:b/>
            </w:rPr>
          </w:pPr>
          <w:r>
            <w:rPr>
              <w:rFonts w:hint="eastAsia"/>
              <w:b/>
            </w:rPr>
            <w:fldChar w:fldCharType="begin"/>
          </w:r>
          <w:r>
            <w:rPr>
              <w:rFonts w:hint="eastAsia"/>
              <w:b/>
            </w:rPr>
            <w:instrText xml:space="preserve"> HYPERLINK \l _Toc27588 </w:instrText>
          </w:r>
          <w:r>
            <w:rPr>
              <w:rFonts w:hint="eastAsia"/>
              <w:b/>
            </w:rPr>
            <w:fldChar w:fldCharType="separate"/>
          </w:r>
          <w:r>
            <w:rPr>
              <w:rFonts w:hint="eastAsia"/>
              <w:b/>
            </w:rPr>
            <w:t>七、 政府性基金预算支出规模及变化情况说明</w:t>
          </w:r>
          <w:r>
            <w:rPr>
              <w:b/>
            </w:rPr>
            <w:tab/>
          </w:r>
          <w:r>
            <w:rPr>
              <w:b/>
            </w:rPr>
            <w:fldChar w:fldCharType="begin"/>
          </w:r>
          <w:r>
            <w:rPr>
              <w:b/>
            </w:rPr>
            <w:instrText xml:space="preserve"> PAGEREF _Toc27588 \h </w:instrText>
          </w:r>
          <w:r>
            <w:rPr>
              <w:b/>
            </w:rPr>
            <w:fldChar w:fldCharType="separate"/>
          </w:r>
          <w:r>
            <w:rPr>
              <w:b/>
            </w:rPr>
            <w:t>6</w:t>
          </w:r>
          <w:r>
            <w:rPr>
              <w:b/>
            </w:rPr>
            <w:fldChar w:fldCharType="end"/>
          </w:r>
          <w:r>
            <w:rPr>
              <w:rFonts w:hint="eastAsia"/>
              <w:b/>
            </w:rPr>
            <w:fldChar w:fldCharType="end"/>
          </w:r>
        </w:p>
        <w:p>
          <w:pPr>
            <w:pStyle w:val="65"/>
            <w:tabs>
              <w:tab w:val="right" w:leader="dot" w:pos="8958"/>
            </w:tabs>
            <w:rPr>
              <w:b/>
            </w:rPr>
          </w:pPr>
          <w:r>
            <w:rPr>
              <w:rFonts w:hint="eastAsia"/>
              <w:b/>
            </w:rPr>
            <w:fldChar w:fldCharType="begin"/>
          </w:r>
          <w:r>
            <w:rPr>
              <w:rFonts w:hint="eastAsia"/>
              <w:b/>
            </w:rPr>
            <w:instrText xml:space="preserve"> HYPERLINK \l _Toc7663 </w:instrText>
          </w:r>
          <w:r>
            <w:rPr>
              <w:rFonts w:hint="eastAsia"/>
              <w:b/>
            </w:rPr>
            <w:fldChar w:fldCharType="separate"/>
          </w:r>
          <w:r>
            <w:rPr>
              <w:rFonts w:hint="eastAsia" w:ascii="黑体" w:eastAsia="黑体"/>
              <w:b/>
            </w:rPr>
            <w:t>八、“三公”经费预算安排情况说明</w:t>
          </w:r>
          <w:r>
            <w:rPr>
              <w:b/>
            </w:rPr>
            <w:tab/>
          </w:r>
          <w:r>
            <w:rPr>
              <w:b/>
            </w:rPr>
            <w:fldChar w:fldCharType="begin"/>
          </w:r>
          <w:r>
            <w:rPr>
              <w:b/>
            </w:rPr>
            <w:instrText xml:space="preserve"> PAGEREF _Toc7663 \h </w:instrText>
          </w:r>
          <w:r>
            <w:rPr>
              <w:b/>
            </w:rPr>
            <w:fldChar w:fldCharType="separate"/>
          </w:r>
          <w:r>
            <w:rPr>
              <w:b/>
            </w:rPr>
            <w:t>6</w:t>
          </w:r>
          <w:r>
            <w:rPr>
              <w:b/>
            </w:rPr>
            <w:fldChar w:fldCharType="end"/>
          </w:r>
          <w:r>
            <w:rPr>
              <w:rFonts w:hint="eastAsia"/>
              <w:b/>
            </w:rPr>
            <w:fldChar w:fldCharType="end"/>
          </w:r>
        </w:p>
        <w:p>
          <w:pPr>
            <w:pStyle w:val="65"/>
            <w:tabs>
              <w:tab w:val="right" w:leader="dot" w:pos="8958"/>
            </w:tabs>
            <w:rPr>
              <w:b/>
            </w:rPr>
          </w:pPr>
          <w:r>
            <w:rPr>
              <w:rFonts w:hint="eastAsia"/>
              <w:b/>
            </w:rPr>
            <w:fldChar w:fldCharType="begin"/>
          </w:r>
          <w:r>
            <w:rPr>
              <w:rFonts w:hint="eastAsia"/>
              <w:b/>
            </w:rPr>
            <w:instrText xml:space="preserve"> HYPERLINK \l _Toc3719 </w:instrText>
          </w:r>
          <w:r>
            <w:rPr>
              <w:rFonts w:hint="eastAsia"/>
              <w:b/>
            </w:rPr>
            <w:fldChar w:fldCharType="separate"/>
          </w:r>
          <w:r>
            <w:rPr>
              <w:rFonts w:hint="default"/>
              <w:b/>
            </w:rPr>
            <w:t xml:space="preserve">九、 </w:t>
          </w:r>
          <w:r>
            <w:rPr>
              <w:rFonts w:hint="eastAsia"/>
              <w:b/>
            </w:rPr>
            <w:t>其他重要事项的情况说明</w:t>
          </w:r>
          <w:r>
            <w:rPr>
              <w:b/>
            </w:rPr>
            <w:tab/>
          </w:r>
          <w:r>
            <w:rPr>
              <w:b/>
            </w:rPr>
            <w:fldChar w:fldCharType="begin"/>
          </w:r>
          <w:r>
            <w:rPr>
              <w:b/>
            </w:rPr>
            <w:instrText xml:space="preserve"> PAGEREF _Toc3719 \h </w:instrText>
          </w:r>
          <w:r>
            <w:rPr>
              <w:b/>
            </w:rPr>
            <w:fldChar w:fldCharType="separate"/>
          </w:r>
          <w:r>
            <w:rPr>
              <w:b/>
            </w:rPr>
            <w:t>7</w:t>
          </w:r>
          <w:r>
            <w:rPr>
              <w:b/>
            </w:rPr>
            <w:fldChar w:fldCharType="end"/>
          </w:r>
          <w:r>
            <w:rPr>
              <w:rFonts w:hint="eastAsia"/>
              <w:b/>
            </w:rPr>
            <w:fldChar w:fldCharType="end"/>
          </w:r>
        </w:p>
        <w:p>
          <w:pPr>
            <w:pStyle w:val="66"/>
            <w:tabs>
              <w:tab w:val="right" w:leader="dot" w:pos="8958"/>
            </w:tabs>
          </w:pPr>
          <w:r>
            <w:rPr>
              <w:rFonts w:hint="eastAsia"/>
            </w:rPr>
            <w:fldChar w:fldCharType="begin"/>
          </w:r>
          <w:r>
            <w:rPr>
              <w:rFonts w:hint="eastAsia"/>
            </w:rPr>
            <w:instrText xml:space="preserve"> HYPERLINK \l _Toc23974 </w:instrText>
          </w:r>
          <w:r>
            <w:rPr>
              <w:rFonts w:hint="eastAsia"/>
            </w:rPr>
            <w:fldChar w:fldCharType="separate"/>
          </w:r>
          <w:r>
            <w:rPr>
              <w:rFonts w:hint="eastAsia"/>
              <w:lang w:val="en-US"/>
            </w:rPr>
            <w:t xml:space="preserve">（一） </w:t>
          </w:r>
          <w:r>
            <w:rPr>
              <w:rFonts w:hint="eastAsia"/>
            </w:rPr>
            <w:t>机关运行经费。</w:t>
          </w:r>
          <w:r>
            <w:tab/>
          </w:r>
          <w:r>
            <w:fldChar w:fldCharType="begin"/>
          </w:r>
          <w:r>
            <w:instrText xml:space="preserve"> PAGEREF _Toc23974 \h </w:instrText>
          </w:r>
          <w:r>
            <w:fldChar w:fldCharType="separate"/>
          </w:r>
          <w:r>
            <w:t>7</w:t>
          </w:r>
          <w:r>
            <w:fldChar w:fldCharType="end"/>
          </w:r>
          <w:r>
            <w:rPr>
              <w:rFonts w:hint="eastAsia"/>
            </w:rPr>
            <w:fldChar w:fldCharType="end"/>
          </w:r>
        </w:p>
        <w:p>
          <w:pPr>
            <w:pStyle w:val="66"/>
            <w:tabs>
              <w:tab w:val="right" w:leader="dot" w:pos="8958"/>
            </w:tabs>
          </w:pPr>
          <w:r>
            <w:rPr>
              <w:rFonts w:hint="eastAsia"/>
            </w:rPr>
            <w:fldChar w:fldCharType="begin"/>
          </w:r>
          <w:r>
            <w:rPr>
              <w:rFonts w:hint="eastAsia"/>
            </w:rPr>
            <w:instrText xml:space="preserve"> HYPERLINK \l _Toc11007 </w:instrText>
          </w:r>
          <w:r>
            <w:rPr>
              <w:rFonts w:hint="eastAsia"/>
            </w:rPr>
            <w:fldChar w:fldCharType="separate"/>
          </w:r>
          <w:r>
            <w:rPr>
              <w:rFonts w:hint="eastAsia"/>
              <w:lang w:val="en-US"/>
            </w:rPr>
            <w:t xml:space="preserve">（二） </w:t>
          </w:r>
          <w:r>
            <w:rPr>
              <w:rFonts w:hint="eastAsia"/>
            </w:rPr>
            <w:t>政府采购情况。</w:t>
          </w:r>
          <w:r>
            <w:tab/>
          </w:r>
          <w:r>
            <w:fldChar w:fldCharType="begin"/>
          </w:r>
          <w:r>
            <w:instrText xml:space="preserve"> PAGEREF _Toc11007 \h </w:instrText>
          </w:r>
          <w:r>
            <w:fldChar w:fldCharType="separate"/>
          </w:r>
          <w:r>
            <w:t>7</w:t>
          </w:r>
          <w:r>
            <w:fldChar w:fldCharType="end"/>
          </w:r>
          <w:r>
            <w:rPr>
              <w:rFonts w:hint="eastAsia"/>
            </w:rPr>
            <w:fldChar w:fldCharType="end"/>
          </w:r>
        </w:p>
        <w:p>
          <w:pPr>
            <w:pStyle w:val="66"/>
            <w:tabs>
              <w:tab w:val="right" w:leader="dot" w:pos="8958"/>
            </w:tabs>
          </w:pPr>
          <w:r>
            <w:rPr>
              <w:rFonts w:hint="eastAsia"/>
            </w:rPr>
            <w:fldChar w:fldCharType="begin"/>
          </w:r>
          <w:r>
            <w:rPr>
              <w:rFonts w:hint="eastAsia"/>
            </w:rPr>
            <w:instrText xml:space="preserve"> HYPERLINK \l _Toc31361 </w:instrText>
          </w:r>
          <w:r>
            <w:rPr>
              <w:rFonts w:hint="eastAsia"/>
            </w:rPr>
            <w:fldChar w:fldCharType="separate"/>
          </w:r>
          <w:r>
            <w:rPr>
              <w:rFonts w:hint="eastAsia"/>
              <w:lang w:val="en-US"/>
            </w:rPr>
            <w:t xml:space="preserve">（三） </w:t>
          </w:r>
          <w:r>
            <w:rPr>
              <w:rFonts w:hint="eastAsia"/>
            </w:rPr>
            <w:t>国有资产占有使用情况。</w:t>
          </w:r>
          <w:r>
            <w:tab/>
          </w:r>
          <w:r>
            <w:fldChar w:fldCharType="begin"/>
          </w:r>
          <w:r>
            <w:instrText xml:space="preserve"> PAGEREF _Toc31361 \h </w:instrText>
          </w:r>
          <w:r>
            <w:fldChar w:fldCharType="separate"/>
          </w:r>
          <w:r>
            <w:t>7</w:t>
          </w:r>
          <w:r>
            <w:fldChar w:fldCharType="end"/>
          </w:r>
          <w:r>
            <w:rPr>
              <w:rFonts w:hint="eastAsia"/>
            </w:rPr>
            <w:fldChar w:fldCharType="end"/>
          </w:r>
        </w:p>
        <w:p>
          <w:pPr>
            <w:pStyle w:val="66"/>
            <w:tabs>
              <w:tab w:val="right" w:leader="dot" w:pos="8958"/>
            </w:tabs>
          </w:pPr>
          <w:r>
            <w:rPr>
              <w:rFonts w:hint="eastAsia"/>
            </w:rPr>
            <w:fldChar w:fldCharType="begin"/>
          </w:r>
          <w:r>
            <w:rPr>
              <w:rFonts w:hint="eastAsia"/>
            </w:rPr>
            <w:instrText xml:space="preserve"> HYPERLINK \l _Toc28227 </w:instrText>
          </w:r>
          <w:r>
            <w:rPr>
              <w:rFonts w:hint="eastAsia"/>
            </w:rPr>
            <w:fldChar w:fldCharType="separate"/>
          </w:r>
          <w:r>
            <w:rPr>
              <w:rFonts w:hint="eastAsia"/>
              <w:lang w:val="en-US"/>
            </w:rPr>
            <w:t xml:space="preserve">（四） </w:t>
          </w:r>
          <w:r>
            <w:rPr>
              <w:rFonts w:hint="eastAsia"/>
            </w:rPr>
            <w:t>绩效目标设置情况。</w:t>
          </w:r>
          <w:r>
            <w:tab/>
          </w:r>
          <w:r>
            <w:fldChar w:fldCharType="begin"/>
          </w:r>
          <w:r>
            <w:instrText xml:space="preserve"> PAGEREF _Toc28227 \h </w:instrText>
          </w:r>
          <w:r>
            <w:fldChar w:fldCharType="separate"/>
          </w:r>
          <w:r>
            <w:t>7</w:t>
          </w:r>
          <w:r>
            <w:fldChar w:fldCharType="end"/>
          </w:r>
          <w:r>
            <w:rPr>
              <w:rFonts w:hint="eastAsia"/>
            </w:rPr>
            <w:fldChar w:fldCharType="end"/>
          </w:r>
        </w:p>
        <w:p>
          <w:pPr>
            <w:pStyle w:val="65"/>
            <w:tabs>
              <w:tab w:val="right" w:leader="dot" w:pos="8958"/>
            </w:tabs>
            <w:rPr>
              <w:b/>
            </w:rPr>
          </w:pPr>
          <w:r>
            <w:rPr>
              <w:rFonts w:hint="eastAsia"/>
              <w:b/>
            </w:rPr>
            <w:fldChar w:fldCharType="begin"/>
          </w:r>
          <w:r>
            <w:rPr>
              <w:rFonts w:hint="eastAsia"/>
              <w:b/>
            </w:rPr>
            <w:instrText xml:space="preserve"> HYPERLINK \l _Toc4439 </w:instrText>
          </w:r>
          <w:r>
            <w:rPr>
              <w:rFonts w:hint="eastAsia"/>
              <w:b/>
            </w:rPr>
            <w:fldChar w:fldCharType="separate"/>
          </w:r>
          <w:r>
            <w:rPr>
              <w:rFonts w:hint="default"/>
              <w:b/>
            </w:rPr>
            <w:t xml:space="preserve">十、 </w:t>
          </w:r>
          <w:r>
            <w:rPr>
              <w:rFonts w:hint="eastAsia"/>
              <w:b/>
            </w:rPr>
            <w:t>名词解释（各部门根据实际情况对名词解释进行增加或删减）</w:t>
          </w:r>
          <w:r>
            <w:rPr>
              <w:b/>
            </w:rPr>
            <w:tab/>
          </w:r>
          <w:r>
            <w:rPr>
              <w:b/>
            </w:rPr>
            <w:fldChar w:fldCharType="begin"/>
          </w:r>
          <w:r>
            <w:rPr>
              <w:b/>
            </w:rPr>
            <w:instrText xml:space="preserve"> PAGEREF _Toc4439 \h </w:instrText>
          </w:r>
          <w:r>
            <w:rPr>
              <w:b/>
            </w:rPr>
            <w:fldChar w:fldCharType="separate"/>
          </w:r>
          <w:r>
            <w:rPr>
              <w:b/>
            </w:rPr>
            <w:t>8</w:t>
          </w:r>
          <w:r>
            <w:rPr>
              <w:b/>
            </w:rPr>
            <w:fldChar w:fldCharType="end"/>
          </w:r>
          <w:r>
            <w:rPr>
              <w:rFonts w:hint="eastAsia"/>
              <w:b/>
            </w:rPr>
            <w:fldChar w:fldCharType="end"/>
          </w:r>
        </w:p>
        <w:p>
          <w:pPr>
            <w:pStyle w:val="33"/>
            <w:rPr>
              <w:rFonts w:hint="eastAsia"/>
              <w:b/>
            </w:rPr>
          </w:pPr>
          <w:r>
            <w:rPr>
              <w:rFonts w:hint="eastAsia"/>
              <w:b/>
            </w:rPr>
            <w:fldChar w:fldCharType="end"/>
          </w:r>
        </w:p>
        <w:p>
          <w:pPr>
            <w:pStyle w:val="33"/>
            <w:rPr>
              <w:rFonts w:hint="eastAsia"/>
              <w:b/>
            </w:rPr>
          </w:pPr>
        </w:p>
        <w:p>
          <w:pPr>
            <w:pStyle w:val="33"/>
            <w:rPr>
              <w:rFonts w:hint="eastAsia"/>
              <w:b/>
            </w:rPr>
          </w:pPr>
        </w:p>
        <w:p>
          <w:pPr>
            <w:pStyle w:val="33"/>
            <w:rPr>
              <w:rFonts w:hint="eastAsia"/>
              <w:b/>
            </w:rPr>
          </w:pPr>
        </w:p>
        <w:p>
          <w:pPr>
            <w:pStyle w:val="33"/>
            <w:rPr>
              <w:rFonts w:hint="eastAsia"/>
              <w:b/>
            </w:rPr>
          </w:pPr>
          <w:bookmarkStart w:id="17" w:name="_GoBack"/>
          <w:bookmarkEnd w:id="17"/>
        </w:p>
        <w:p>
          <w:pPr>
            <w:pStyle w:val="33"/>
            <w:rPr>
              <w:rFonts w:hint="eastAsia"/>
              <w:b/>
            </w:rPr>
          </w:pPr>
        </w:p>
        <w:p>
          <w:pPr>
            <w:pStyle w:val="33"/>
            <w:rPr>
              <w:rFonts w:hint="eastAsia"/>
              <w:b/>
            </w:rPr>
          </w:pPr>
        </w:p>
        <w:p>
          <w:pPr>
            <w:pStyle w:val="33"/>
            <w:rPr>
              <w:rFonts w:hint="eastAsia"/>
            </w:rPr>
          </w:pPr>
          <w:r>
            <w:rPr>
              <w:rFonts w:hint="eastAsia"/>
            </w:rPr>
            <w:t>按照预算管理有关规定，目前部门预算的编制实行综合预算制度，即全部收入和支出都反映在预算中。</w:t>
          </w:r>
        </w:p>
        <w:p>
          <w:pPr>
            <w:pStyle w:val="33"/>
            <w:rPr>
              <w:rFonts w:hint="eastAsia"/>
              <w:b/>
            </w:rPr>
          </w:pPr>
        </w:p>
        <w:p>
          <w:pPr>
            <w:pStyle w:val="33"/>
            <w:rPr>
              <w:rFonts w:hint="eastAsia"/>
            </w:rPr>
          </w:pPr>
        </w:p>
      </w:sdtContent>
    </w:sdt>
    <w:p>
      <w:pPr>
        <w:pStyle w:val="32"/>
        <w:numPr>
          <w:ilvl w:val="0"/>
          <w:numId w:val="5"/>
        </w:numPr>
        <w:ind w:left="0" w:firstLine="637"/>
      </w:pPr>
      <w:bookmarkStart w:id="0" w:name="_Toc20675"/>
      <w:r>
        <w:rPr>
          <w:rFonts w:hint="eastAsia"/>
        </w:rPr>
        <w:t>基本职能及主要工作</w:t>
      </w:r>
      <w:bookmarkEnd w:id="0"/>
    </w:p>
    <w:p>
      <w:pPr>
        <w:pStyle w:val="33"/>
        <w:rPr>
          <w:rFonts w:hint="eastAsia"/>
        </w:rPr>
      </w:pPr>
      <w:r>
        <w:rPr>
          <w:rFonts w:hint="eastAsia"/>
        </w:rPr>
        <w:t>职能参照政府批准的三定方案；</w:t>
      </w:r>
    </w:p>
    <w:p>
      <w:pPr>
        <w:pStyle w:val="5"/>
        <w:adjustRightInd w:val="0"/>
        <w:snapToGrid w:val="0"/>
        <w:spacing w:before="93" w:line="600" w:lineRule="exact"/>
        <w:ind w:firstLine="672" w:firstLineChars="210"/>
        <w:outlineLvl w:val="2"/>
        <w:rPr>
          <w:rFonts w:hint="eastAsia" w:ascii="仿宋" w:hAnsi="仿宋" w:eastAsia="仿宋" w:cs="Times New Roman"/>
          <w:bCs/>
          <w:color w:val="000000"/>
          <w:sz w:val="32"/>
          <w:szCs w:val="32"/>
        </w:rPr>
      </w:pPr>
      <w:r>
        <w:rPr>
          <w:rFonts w:hint="eastAsia" w:ascii="仿宋" w:hAnsi="仿宋" w:eastAsia="仿宋" w:cs="Times New Roman"/>
          <w:bCs/>
          <w:color w:val="000000"/>
          <w:sz w:val="32"/>
          <w:szCs w:val="32"/>
        </w:rPr>
        <w:t>1.宣传贯彻统一战线的理论、方针、政策，提出开展统战工作的意见建议，协调处理统战工作中的重大问题。</w:t>
      </w:r>
    </w:p>
    <w:p>
      <w:pPr>
        <w:pStyle w:val="5"/>
        <w:adjustRightInd w:val="0"/>
        <w:snapToGrid w:val="0"/>
        <w:spacing w:before="93" w:line="600" w:lineRule="exact"/>
        <w:ind w:firstLine="672" w:firstLineChars="210"/>
        <w:outlineLvl w:val="2"/>
        <w:rPr>
          <w:rFonts w:hint="eastAsia" w:ascii="仿宋" w:hAnsi="仿宋" w:eastAsia="仿宋" w:cs="Times New Roman"/>
          <w:bCs/>
          <w:color w:val="000000"/>
          <w:sz w:val="32"/>
          <w:szCs w:val="32"/>
        </w:rPr>
      </w:pPr>
      <w:r>
        <w:rPr>
          <w:rFonts w:hint="eastAsia" w:ascii="仿宋" w:hAnsi="仿宋" w:eastAsia="仿宋" w:cs="Times New Roman"/>
          <w:bCs/>
          <w:color w:val="000000"/>
          <w:sz w:val="32"/>
          <w:szCs w:val="32"/>
        </w:rPr>
        <w:t>2.联系各民主党派和无党派人士贯彻落实中</w:t>
      </w:r>
      <w:r>
        <w:rPr>
          <w:rFonts w:hint="eastAsia" w:ascii="仿宋" w:hAnsi="仿宋" w:eastAsia="仿宋" w:cs="Times New Roman"/>
          <w:bCs/>
          <w:color w:val="000000"/>
          <w:sz w:val="32"/>
          <w:szCs w:val="32"/>
          <w:lang w:eastAsia="zh-CN"/>
        </w:rPr>
        <w:t>国</w:t>
      </w:r>
      <w:r>
        <w:rPr>
          <w:rFonts w:hint="eastAsia" w:ascii="仿宋" w:hAnsi="仿宋" w:eastAsia="仿宋" w:cs="Times New Roman"/>
          <w:bCs/>
          <w:color w:val="000000"/>
          <w:sz w:val="32"/>
          <w:szCs w:val="32"/>
        </w:rPr>
        <w:t>共产党领导的多党合作和政治协商制度，选拔、培养优秀代表人士。</w:t>
      </w:r>
    </w:p>
    <w:p>
      <w:pPr>
        <w:pStyle w:val="5"/>
        <w:adjustRightInd w:val="0"/>
        <w:snapToGrid w:val="0"/>
        <w:spacing w:before="93" w:line="600" w:lineRule="exact"/>
        <w:ind w:firstLine="672" w:firstLineChars="210"/>
        <w:outlineLvl w:val="2"/>
        <w:rPr>
          <w:rFonts w:hint="eastAsia" w:ascii="仿宋" w:hAnsi="仿宋" w:eastAsia="仿宋" w:cs="Times New Roman"/>
          <w:bCs/>
          <w:color w:val="000000"/>
          <w:sz w:val="32"/>
          <w:szCs w:val="32"/>
        </w:rPr>
      </w:pPr>
      <w:r>
        <w:rPr>
          <w:rFonts w:hint="eastAsia" w:ascii="仿宋" w:hAnsi="仿宋" w:eastAsia="仿宋" w:cs="Times New Roman"/>
          <w:bCs/>
          <w:color w:val="000000"/>
          <w:sz w:val="32"/>
          <w:szCs w:val="32"/>
        </w:rPr>
        <w:t>3.贯彻执行民族和宗教工作方针、政策，协助有关部门做好少数民族党外干部培养和举荐工作。</w:t>
      </w:r>
    </w:p>
    <w:p>
      <w:pPr>
        <w:pStyle w:val="5"/>
        <w:adjustRightInd w:val="0"/>
        <w:snapToGrid w:val="0"/>
        <w:spacing w:before="93" w:line="600" w:lineRule="exact"/>
        <w:ind w:firstLine="672" w:firstLineChars="210"/>
        <w:outlineLvl w:val="2"/>
        <w:rPr>
          <w:rFonts w:hint="eastAsia" w:ascii="仿宋" w:hAnsi="仿宋" w:eastAsia="仿宋" w:cs="Times New Roman"/>
          <w:bCs/>
          <w:color w:val="000000"/>
          <w:sz w:val="32"/>
          <w:szCs w:val="32"/>
        </w:rPr>
      </w:pPr>
      <w:r>
        <w:rPr>
          <w:rFonts w:hint="eastAsia" w:ascii="仿宋" w:hAnsi="仿宋" w:eastAsia="仿宋" w:cs="Times New Roman"/>
          <w:bCs/>
          <w:color w:val="000000"/>
          <w:sz w:val="32"/>
          <w:szCs w:val="32"/>
        </w:rPr>
        <w:t>4.开展以祖国统一为重点的海外统战工作，做好港、澳、台胞及家属有关工作。</w:t>
      </w:r>
    </w:p>
    <w:p>
      <w:pPr>
        <w:pStyle w:val="5"/>
        <w:adjustRightInd w:val="0"/>
        <w:snapToGrid w:val="0"/>
        <w:spacing w:before="93" w:line="600" w:lineRule="exact"/>
        <w:ind w:firstLine="672" w:firstLineChars="210"/>
        <w:outlineLvl w:val="2"/>
        <w:rPr>
          <w:rFonts w:hint="eastAsia" w:ascii="仿宋_GB2312" w:hAnsi="宋体" w:eastAsia="仿宋_GB2312"/>
          <w:sz w:val="32"/>
          <w:szCs w:val="32"/>
        </w:rPr>
      </w:pPr>
      <w:r>
        <w:rPr>
          <w:rFonts w:hint="eastAsia" w:hAnsi="宋体"/>
          <w:sz w:val="32"/>
          <w:szCs w:val="32"/>
          <w:lang w:val="en-US" w:eastAsia="zh-CN"/>
        </w:rPr>
        <w:t>5.</w:t>
      </w:r>
      <w:r>
        <w:rPr>
          <w:rFonts w:hint="eastAsia" w:ascii="仿宋_GB2312" w:hAnsi="宋体" w:eastAsia="仿宋_GB2312"/>
          <w:sz w:val="32"/>
          <w:szCs w:val="32"/>
        </w:rPr>
        <w:t>做好归侨、侨眷的思想政治工作，团结和带领他们为全面建设小康社会贡献力量。</w:t>
      </w:r>
    </w:p>
    <w:p>
      <w:pPr>
        <w:pStyle w:val="33"/>
        <w:rPr>
          <w:rFonts w:hint="eastAsia" w:ascii="仿宋" w:hAnsi="仿宋" w:eastAsia="仿宋" w:cs="Times New Roman"/>
          <w:bCs/>
          <w:color w:val="000000"/>
          <w:sz w:val="32"/>
          <w:szCs w:val="32"/>
        </w:rPr>
      </w:pPr>
      <w:r>
        <w:rPr>
          <w:rFonts w:hint="eastAsia" w:ascii="仿宋" w:hAnsi="仿宋" w:eastAsia="仿宋" w:cs="Times New Roman"/>
          <w:bCs/>
          <w:color w:val="000000"/>
          <w:sz w:val="32"/>
          <w:szCs w:val="32"/>
          <w:lang w:val="en-US" w:eastAsia="zh-CN"/>
        </w:rPr>
        <w:t>6</w:t>
      </w:r>
      <w:r>
        <w:rPr>
          <w:rFonts w:hint="eastAsia" w:ascii="仿宋" w:hAnsi="仿宋" w:eastAsia="仿宋" w:cs="Times New Roman"/>
          <w:bCs/>
          <w:color w:val="000000"/>
          <w:sz w:val="32"/>
          <w:szCs w:val="32"/>
        </w:rPr>
        <w:t>.积极联系非公有制经济代表人士，团结、帮助、引导非公有制经济人士，开展好思想政治工作。</w:t>
      </w:r>
    </w:p>
    <w:p>
      <w:pPr>
        <w:pStyle w:val="33"/>
        <w:keepNext w:val="0"/>
        <w:keepLines w:val="0"/>
        <w:pageBreakBefore w:val="0"/>
        <w:numPr>
          <w:ilvl w:val="0"/>
          <w:numId w:val="0"/>
        </w:numPr>
        <w:kinsoku/>
        <w:wordWrap/>
        <w:overflowPunct/>
        <w:autoSpaceDE/>
        <w:autoSpaceDN/>
        <w:bidi w:val="0"/>
        <w:adjustRightInd/>
        <w:snapToGrid/>
        <w:spacing w:line="360" w:lineRule="auto"/>
        <w:ind w:leftChars="200"/>
        <w:textAlignment w:val="auto"/>
        <w:rPr>
          <w:rFonts w:hint="eastAsia"/>
          <w:highlight w:val="none"/>
          <w:lang w:eastAsia="zh-CN"/>
        </w:rPr>
      </w:pPr>
      <w:r>
        <w:rPr>
          <w:rFonts w:hint="eastAsia"/>
          <w:highlight w:val="none"/>
        </w:rPr>
        <w:t>2022年重点工作任务介绍</w:t>
      </w:r>
      <w:r>
        <w:rPr>
          <w:rFonts w:hint="eastAsia"/>
          <w:highlight w:val="none"/>
          <w:lang w:eastAsia="zh-CN"/>
        </w:rPr>
        <w:t>：</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1.履行妇幼公共卫生管理职能，加强全区妇幼卫生工作，完成妇幼卫生各项指标（尤其是民生工程指标），降低孕产妇及5岁以下儿童死亡率，消灭新生儿破伤风，努力实现新生儿零艾滋。</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2.强化医院管理，抓好人才培养，拓展服务项目，提升服务质量。巩固爱婴医院和健康促进医院成果，满足全区广大妇幼群体需求，创收增效。</w:t>
      </w:r>
    </w:p>
    <w:p>
      <w:pPr>
        <w:spacing w:line="600" w:lineRule="exact"/>
        <w:ind w:firstLine="640" w:firstLineChars="200"/>
        <w:rPr>
          <w:rFonts w:hint="eastAsia"/>
        </w:rPr>
      </w:pPr>
      <w:r>
        <w:rPr>
          <w:rFonts w:hint="eastAsia" w:ascii="仿宋_GB2312" w:eastAsia="仿宋_GB2312"/>
          <w:sz w:val="32"/>
          <w:szCs w:val="32"/>
        </w:rPr>
        <w:t>3.申报二级乙等妇保院创建，完成医院整体搬迁，推进医院二期（保健综合楼）建设。</w:t>
      </w:r>
    </w:p>
    <w:p>
      <w:pPr>
        <w:pStyle w:val="32"/>
        <w:numPr>
          <w:ilvl w:val="0"/>
          <w:numId w:val="5"/>
        </w:numPr>
        <w:ind w:left="0" w:firstLine="637"/>
      </w:pPr>
      <w:bookmarkStart w:id="1" w:name="_Toc15913"/>
      <w:r>
        <w:rPr>
          <w:rFonts w:hint="eastAsia"/>
        </w:rPr>
        <w:t>部门概况</w:t>
      </w:r>
      <w:bookmarkEnd w:id="1"/>
    </w:p>
    <w:p>
      <w:pPr>
        <w:pStyle w:val="33"/>
      </w:pPr>
      <w:r>
        <w:rPr>
          <w:rFonts w:hint="eastAsia"/>
        </w:rPr>
        <w:t>乐山市沙湾区妇幼保健计划生育服务中心下属二级预算单位</w:t>
      </w:r>
      <w:r>
        <w:rPr>
          <w:rFonts w:hint="eastAsia"/>
          <w:lang w:val="en-US" w:eastAsia="zh-CN"/>
        </w:rPr>
        <w:t>0</w:t>
      </w:r>
      <w:r>
        <w:rPr>
          <w:rFonts w:hint="eastAsia"/>
        </w:rPr>
        <w:t>个，其中行政单位</w:t>
      </w:r>
      <w:r>
        <w:rPr>
          <w:rFonts w:hint="eastAsia"/>
          <w:lang w:val="en-US" w:eastAsia="zh-CN"/>
        </w:rPr>
        <w:t>0</w:t>
      </w:r>
      <w:r>
        <w:rPr>
          <w:rFonts w:hint="eastAsia"/>
        </w:rPr>
        <w:t>个，参照公务员法管理的事业单位</w:t>
      </w:r>
      <w:r>
        <w:rPr>
          <w:rFonts w:hint="eastAsia"/>
          <w:lang w:val="en-US" w:eastAsia="zh-CN"/>
        </w:rPr>
        <w:t>0</w:t>
      </w:r>
      <w:r>
        <w:rPr>
          <w:rFonts w:hint="eastAsia"/>
        </w:rPr>
        <w:t>个，其他事业单位</w:t>
      </w:r>
      <w:r>
        <w:rPr>
          <w:rFonts w:hint="eastAsia"/>
          <w:lang w:val="en-US" w:eastAsia="zh-CN"/>
        </w:rPr>
        <w:t>1</w:t>
      </w:r>
      <w:r>
        <w:rPr>
          <w:rFonts w:hint="eastAsia"/>
        </w:rPr>
        <w:t>个。主要包括：乐山市沙湾区妇幼保健计划生育服务中心。</w:t>
      </w:r>
    </w:p>
    <w:p>
      <w:pPr>
        <w:pStyle w:val="32"/>
        <w:numPr>
          <w:ilvl w:val="0"/>
          <w:numId w:val="5"/>
        </w:numPr>
        <w:ind w:left="0" w:firstLine="637"/>
      </w:pPr>
      <w:bookmarkStart w:id="2" w:name="_Toc27591"/>
      <w:r>
        <w:rPr>
          <w:rFonts w:hint="eastAsia"/>
        </w:rPr>
        <w:t>收支预算总体情况</w:t>
      </w:r>
      <w:bookmarkEnd w:id="2"/>
    </w:p>
    <w:p>
      <w:pPr>
        <w:pStyle w:val="33"/>
      </w:pPr>
      <w:r>
        <w:rPr>
          <w:rFonts w:hint="eastAsia"/>
        </w:rPr>
        <w:t>按照综合预算的原则，乐山市沙湾区妇幼保健计划生育服务中心所有收入和支出均纳入部门预算管理。2021年乐山市沙湾区妇幼保健计划生育服务中心收入预算总额为</w:t>
      </w:r>
      <w:r>
        <w:rPr>
          <w:rFonts w:hint="eastAsia"/>
          <w:lang w:val="en-US" w:eastAsia="zh-CN"/>
        </w:rPr>
        <w:t>262.6</w:t>
      </w:r>
      <w:r>
        <w:rPr>
          <w:rFonts w:hint="eastAsia"/>
        </w:rPr>
        <w:t>万元，较上年预算数减少</w:t>
      </w:r>
      <w:r>
        <w:rPr>
          <w:rFonts w:hint="eastAsia"/>
          <w:lang w:val="en-US" w:eastAsia="zh-CN"/>
        </w:rPr>
        <w:t>317.2</w:t>
      </w:r>
      <w:r>
        <w:rPr>
          <w:rFonts w:hint="eastAsia"/>
        </w:rPr>
        <w:t>万元。其中：当年财政拨款收入</w:t>
      </w:r>
      <w:r>
        <w:rPr>
          <w:rFonts w:hint="eastAsia"/>
          <w:lang w:val="en-US" w:eastAsia="zh-CN"/>
        </w:rPr>
        <w:t>262.6</w:t>
      </w:r>
      <w:r>
        <w:rPr>
          <w:rFonts w:hint="eastAsia"/>
        </w:rPr>
        <w:t>万元，事业收入</w:t>
      </w:r>
      <w:r>
        <w:rPr>
          <w:rFonts w:hint="eastAsia"/>
          <w:lang w:val="en-US" w:eastAsia="zh-CN"/>
        </w:rPr>
        <w:t>0</w:t>
      </w:r>
      <w:r>
        <w:rPr>
          <w:rFonts w:hint="eastAsia"/>
        </w:rPr>
        <w:t>万元，事业单位经营收入</w:t>
      </w:r>
      <w:r>
        <w:rPr>
          <w:rFonts w:hint="eastAsia"/>
          <w:lang w:val="en-US" w:eastAsia="zh-CN"/>
        </w:rPr>
        <w:t>0</w:t>
      </w:r>
      <w:r>
        <w:rPr>
          <w:rFonts w:hint="eastAsia"/>
        </w:rPr>
        <w:t>万元，其他收入</w:t>
      </w:r>
      <w:r>
        <w:rPr>
          <w:rFonts w:hint="eastAsia"/>
          <w:lang w:val="en-US" w:eastAsia="zh-CN"/>
        </w:rPr>
        <w:t>0</w:t>
      </w:r>
      <w:r>
        <w:rPr>
          <w:rFonts w:hint="eastAsia"/>
        </w:rPr>
        <w:t>万元，上年结转收入</w:t>
      </w:r>
      <w:r>
        <w:rPr>
          <w:rFonts w:hint="eastAsia"/>
          <w:lang w:val="en-US" w:eastAsia="zh-CN"/>
        </w:rPr>
        <w:t>0</w:t>
      </w:r>
      <w:r>
        <w:rPr>
          <w:rFonts w:hint="eastAsia"/>
        </w:rPr>
        <w:t>万元，。相应安排支出预算</w:t>
      </w:r>
      <w:r>
        <w:rPr>
          <w:rFonts w:hint="eastAsia"/>
          <w:lang w:val="en-US" w:eastAsia="zh-CN"/>
        </w:rPr>
        <w:t>262.6</w:t>
      </w:r>
      <w:r>
        <w:rPr>
          <w:rFonts w:hint="eastAsia"/>
        </w:rPr>
        <w:t>万元，其中：基本支出预算</w:t>
      </w:r>
      <w:r>
        <w:rPr>
          <w:rFonts w:hint="eastAsia"/>
          <w:lang w:val="en-US" w:eastAsia="zh-CN"/>
        </w:rPr>
        <w:t>254.6</w:t>
      </w:r>
      <w:r>
        <w:rPr>
          <w:rFonts w:hint="eastAsia"/>
        </w:rPr>
        <w:t>万元（人员经费</w:t>
      </w:r>
      <w:r>
        <w:rPr>
          <w:rFonts w:hint="eastAsia"/>
          <w:lang w:val="en-US" w:eastAsia="zh-CN"/>
        </w:rPr>
        <w:t>205.6</w:t>
      </w:r>
      <w:r>
        <w:rPr>
          <w:rFonts w:hint="eastAsia"/>
        </w:rPr>
        <w:t>万元，公用经费</w:t>
      </w:r>
      <w:r>
        <w:rPr>
          <w:rFonts w:hint="eastAsia"/>
          <w:lang w:val="en-US" w:eastAsia="zh-CN"/>
        </w:rPr>
        <w:t>49</w:t>
      </w:r>
      <w:r>
        <w:rPr>
          <w:rFonts w:hint="eastAsia"/>
        </w:rPr>
        <w:t>万元），项目支出预算</w:t>
      </w:r>
      <w:r>
        <w:rPr>
          <w:rFonts w:hint="eastAsia"/>
          <w:lang w:val="en-US" w:eastAsia="zh-CN"/>
        </w:rPr>
        <w:t>8</w:t>
      </w:r>
      <w:r>
        <w:rPr>
          <w:rFonts w:hint="eastAsia"/>
        </w:rPr>
        <w:t>万元。</w:t>
      </w:r>
    </w:p>
    <w:p>
      <w:pPr>
        <w:pStyle w:val="32"/>
        <w:numPr>
          <w:ilvl w:val="0"/>
          <w:numId w:val="5"/>
        </w:numPr>
        <w:ind w:left="0" w:firstLine="637"/>
      </w:pPr>
      <w:bookmarkStart w:id="3" w:name="_Toc18794"/>
      <w:r>
        <w:rPr>
          <w:rFonts w:hint="eastAsia"/>
        </w:rPr>
        <w:t>财政拨款支出预算安排情况</w:t>
      </w:r>
      <w:bookmarkEnd w:id="3"/>
    </w:p>
    <w:p>
      <w:pPr>
        <w:pStyle w:val="33"/>
      </w:pPr>
      <w:r>
        <w:rPr>
          <w:rFonts w:hint="eastAsia"/>
        </w:rPr>
        <w:t>乐山市沙湾区妇幼保健计划生育服务中心2021年财政拨款收支总预算</w:t>
      </w:r>
      <w:r>
        <w:rPr>
          <w:rFonts w:hint="eastAsia"/>
          <w:lang w:val="en-US" w:eastAsia="zh-CN"/>
        </w:rPr>
        <w:t>262.6</w:t>
      </w:r>
      <w:r>
        <w:rPr>
          <w:rFonts w:hint="eastAsia"/>
        </w:rPr>
        <w:t>万元，主要用于保障该部门机构正常运转、完成日常工作任务以及承担</w:t>
      </w:r>
      <w:r>
        <w:rPr>
          <w:rFonts w:hint="eastAsia"/>
          <w:lang w:val="en-US" w:eastAsia="zh-CN"/>
        </w:rPr>
        <w:t>社会</w:t>
      </w:r>
      <w:r>
        <w:rPr>
          <w:rFonts w:hint="eastAsia"/>
        </w:rPr>
        <w:t>事业发展相关工作。其中：</w:t>
      </w:r>
    </w:p>
    <w:p>
      <w:pPr>
        <w:pStyle w:val="33"/>
      </w:pPr>
      <w:r>
        <w:rPr>
          <w:rFonts w:hint="eastAsia"/>
        </w:rPr>
        <w:t>基本支出，是用于保障</w:t>
      </w:r>
      <w:r>
        <w:rPr>
          <w:rFonts w:hint="eastAsia"/>
          <w:lang w:val="en-US" w:eastAsia="zh-CN"/>
        </w:rPr>
        <w:t>本单位</w:t>
      </w:r>
      <w:r>
        <w:rPr>
          <w:rFonts w:hint="eastAsia"/>
        </w:rPr>
        <w:t>正常运转、完成日常工作任务的支出，包括基本工资、津贴补贴等人员经费以及办公费、印刷费、水电费、公务用车运行维护费等公用经费。</w:t>
      </w:r>
    </w:p>
    <w:p>
      <w:pPr>
        <w:spacing w:line="600" w:lineRule="exact"/>
        <w:ind w:firstLine="640" w:firstLineChars="200"/>
        <w:rPr>
          <w:rFonts w:hint="eastAsia"/>
        </w:rPr>
      </w:pPr>
      <w:r>
        <w:rPr>
          <w:rFonts w:hint="eastAsia" w:ascii="仿宋" w:hAnsi="仿宋" w:eastAsia="仿宋" w:cs="仿宋"/>
          <w:sz w:val="32"/>
          <w:szCs w:val="32"/>
        </w:rPr>
        <w:t>项目支出，是用于履行妇幼</w:t>
      </w:r>
      <w:r>
        <w:rPr>
          <w:rFonts w:hint="eastAsia" w:ascii="仿宋_GB2312" w:eastAsia="仿宋_GB2312"/>
          <w:sz w:val="32"/>
          <w:szCs w:val="32"/>
        </w:rPr>
        <w:t>公共卫生管理职能，加强全区妇幼卫生工作，完成妇幼卫生各项指标（尤其是民生工程指标），降低孕产妇及5岁以下儿童死亡率，消灭新生儿破伤风，努力实现新生儿零艾滋。强化医院管理，抓好人才培养，拓展服务项目，提升服务质量。巩固爱婴医院和健康促进医院成果，满足全区广大妇幼群体需求，创收增效。申报二级乙等妇保院创建，完成医院整体搬迁，推进医院二期（保健综合楼）建设。</w:t>
      </w:r>
    </w:p>
    <w:p>
      <w:pPr>
        <w:pStyle w:val="33"/>
        <w:rPr>
          <w:rFonts w:hint="eastAsia"/>
        </w:rPr>
      </w:pPr>
      <w:r>
        <w:rPr>
          <w:rFonts w:hint="eastAsia"/>
        </w:rPr>
        <w:t>。</w:t>
      </w:r>
    </w:p>
    <w:p>
      <w:pPr>
        <w:pStyle w:val="32"/>
        <w:numPr>
          <w:ilvl w:val="0"/>
          <w:numId w:val="5"/>
        </w:numPr>
        <w:ind w:left="0" w:firstLine="637"/>
        <w:rPr>
          <w:rFonts w:hint="eastAsia"/>
        </w:rPr>
      </w:pPr>
      <w:bookmarkStart w:id="4" w:name="_Toc25918"/>
      <w:r>
        <w:rPr>
          <w:rFonts w:hint="eastAsia"/>
        </w:rPr>
        <w:t>一般公共预算当年拨款情况说明</w:t>
      </w:r>
      <w:bookmarkEnd w:id="4"/>
    </w:p>
    <w:p>
      <w:pPr>
        <w:pStyle w:val="34"/>
        <w:rPr>
          <w:rFonts w:hint="eastAsia"/>
        </w:rPr>
      </w:pPr>
      <w:bookmarkStart w:id="5" w:name="_Toc31488"/>
      <w:r>
        <w:rPr>
          <w:rFonts w:hint="eastAsia"/>
        </w:rPr>
        <w:t>一般公共预算当年拨款规模及变化情况。</w:t>
      </w:r>
      <w:bookmarkEnd w:id="5"/>
    </w:p>
    <w:p>
      <w:pPr>
        <w:pStyle w:val="33"/>
        <w:rPr>
          <w:rFonts w:hint="eastAsia"/>
        </w:rPr>
      </w:pPr>
      <w:r>
        <w:rPr>
          <w:rFonts w:hint="eastAsia"/>
        </w:rPr>
        <w:t>乐山市沙湾区妇幼保健计划生育服务中心2021年一般公共预算当年拨款</w:t>
      </w:r>
      <w:r>
        <w:rPr>
          <w:rFonts w:hint="eastAsia"/>
          <w:lang w:val="en-US" w:eastAsia="zh-CN"/>
        </w:rPr>
        <w:t>262.6</w:t>
      </w:r>
      <w:r>
        <w:rPr>
          <w:rFonts w:hint="eastAsia"/>
        </w:rPr>
        <w:t>万元，较上年预算数减少</w:t>
      </w:r>
      <w:r>
        <w:rPr>
          <w:rFonts w:hint="eastAsia"/>
          <w:lang w:val="en-US" w:eastAsia="zh-CN"/>
        </w:rPr>
        <w:t>317.2</w:t>
      </w:r>
      <w:r>
        <w:rPr>
          <w:rFonts w:hint="eastAsia"/>
        </w:rPr>
        <w:t>万元。主要是因为</w:t>
      </w:r>
      <w:r>
        <w:rPr>
          <w:rFonts w:hint="eastAsia"/>
          <w:lang w:val="en-US" w:eastAsia="zh-CN"/>
        </w:rPr>
        <w:t>单位本年工作项目减少，支出减少</w:t>
      </w:r>
      <w:r>
        <w:rPr>
          <w:rFonts w:hint="eastAsia"/>
        </w:rPr>
        <w:t>。</w:t>
      </w:r>
    </w:p>
    <w:p>
      <w:pPr>
        <w:pStyle w:val="34"/>
        <w:rPr>
          <w:rFonts w:hint="eastAsia"/>
        </w:rPr>
      </w:pPr>
      <w:bookmarkStart w:id="6" w:name="_Toc10156"/>
      <w:r>
        <w:rPr>
          <w:rFonts w:hint="eastAsia"/>
        </w:rPr>
        <w:t>一般公共预算当年拨款结构情况。</w:t>
      </w:r>
      <w:bookmarkEnd w:id="6"/>
    </w:p>
    <w:p>
      <w:pPr>
        <w:pStyle w:val="33"/>
        <w:rPr>
          <w:rFonts w:hint="eastAsia" w:eastAsia="仿宋_GB2312"/>
          <w:lang w:eastAsia="zh-CN"/>
        </w:rPr>
      </w:pPr>
      <w:r>
        <w:rPr>
          <w:rFonts w:hint="eastAsia"/>
        </w:rPr>
        <w:t>社会保障和就业支出</w:t>
      </w:r>
      <w:r>
        <w:rPr>
          <w:rFonts w:hint="eastAsia"/>
          <w:lang w:val="en-US" w:eastAsia="zh-CN"/>
        </w:rPr>
        <w:t>24</w:t>
      </w:r>
      <w:r>
        <w:rPr>
          <w:rFonts w:hint="eastAsia"/>
        </w:rPr>
        <w:t>万元，占</w:t>
      </w:r>
      <w:r>
        <w:rPr>
          <w:rFonts w:hint="eastAsia"/>
          <w:lang w:val="en-US" w:eastAsia="zh-CN"/>
        </w:rPr>
        <w:t>9.14</w:t>
      </w:r>
      <w:r>
        <w:rPr>
          <w:rFonts w:hint="eastAsia"/>
        </w:rPr>
        <w:t>%；卫生健康支出</w:t>
      </w:r>
      <w:r>
        <w:rPr>
          <w:rFonts w:hint="eastAsia"/>
          <w:lang w:val="en-US" w:eastAsia="zh-CN"/>
        </w:rPr>
        <w:t>210.6</w:t>
      </w:r>
      <w:r>
        <w:rPr>
          <w:rFonts w:hint="eastAsia"/>
        </w:rPr>
        <w:t>万元，占</w:t>
      </w:r>
      <w:r>
        <w:rPr>
          <w:rFonts w:hint="eastAsia"/>
          <w:lang w:val="en-US" w:eastAsia="zh-CN"/>
        </w:rPr>
        <w:t>80.2</w:t>
      </w:r>
      <w:r>
        <w:rPr>
          <w:rFonts w:hint="eastAsia"/>
        </w:rPr>
        <w:t>%； 住房保障支出</w:t>
      </w:r>
      <w:r>
        <w:rPr>
          <w:rFonts w:hint="eastAsia"/>
          <w:lang w:val="en-US" w:eastAsia="zh-CN"/>
        </w:rPr>
        <w:t>27.9</w:t>
      </w:r>
      <w:r>
        <w:rPr>
          <w:rFonts w:hint="eastAsia"/>
        </w:rPr>
        <w:t>万元，占</w:t>
      </w:r>
      <w:r>
        <w:rPr>
          <w:rFonts w:hint="eastAsia"/>
          <w:lang w:val="en-US" w:eastAsia="zh-CN"/>
        </w:rPr>
        <w:t>10.62</w:t>
      </w:r>
      <w:r>
        <w:rPr>
          <w:rFonts w:hint="eastAsia"/>
        </w:rPr>
        <w:t>%</w:t>
      </w:r>
      <w:r>
        <w:rPr>
          <w:rFonts w:hint="eastAsia"/>
          <w:lang w:eastAsia="zh-CN"/>
        </w:rPr>
        <w:t>。</w:t>
      </w:r>
    </w:p>
    <w:p>
      <w:pPr>
        <w:pStyle w:val="34"/>
        <w:rPr>
          <w:rFonts w:hint="eastAsia"/>
        </w:rPr>
      </w:pPr>
      <w:bookmarkStart w:id="7" w:name="_Toc6844"/>
      <w:r>
        <w:rPr>
          <w:rFonts w:hint="eastAsia"/>
        </w:rPr>
        <w:t>一般公共预算当年拨款具体使用情况。（按照功能科目类、款、项逐项说明，以财政部门为例）</w:t>
      </w:r>
      <w:bookmarkEnd w:id="7"/>
    </w:p>
    <w:p>
      <w:pPr>
        <w:pStyle w:val="33"/>
        <w:rPr>
          <w:rFonts w:hint="eastAsia"/>
        </w:rPr>
      </w:pPr>
      <w:r>
        <w:rPr>
          <w:rFonts w:hint="eastAsia"/>
        </w:rPr>
        <w:t>1.社会保障和就业支出（类）行政事业单位养老支出（款）    机关事业单位基本养老保险缴费支出（项）:2021年预算数为</w:t>
      </w:r>
      <w:r>
        <w:rPr>
          <w:rFonts w:hint="eastAsia"/>
          <w:lang w:val="en-US" w:eastAsia="zh-CN"/>
        </w:rPr>
        <w:t>22.9</w:t>
      </w:r>
      <w:r>
        <w:rPr>
          <w:rFonts w:hint="eastAsia"/>
        </w:rPr>
        <w:t>万元，主要用于：机关及参公管理事业单位正常运转的人员经费。</w:t>
      </w:r>
    </w:p>
    <w:p>
      <w:pPr>
        <w:pStyle w:val="33"/>
        <w:rPr>
          <w:rFonts w:hint="eastAsia"/>
        </w:rPr>
      </w:pPr>
      <w:r>
        <w:rPr>
          <w:rFonts w:hint="eastAsia"/>
        </w:rPr>
        <w:t>2.社会保障和就业支出（类）其他社会保障和就业支出（款）      其他社会保障和就业支出（项）:2021年预算数为</w:t>
      </w:r>
      <w:r>
        <w:rPr>
          <w:rFonts w:hint="eastAsia"/>
          <w:lang w:val="en-US" w:eastAsia="zh-CN"/>
        </w:rPr>
        <w:t>1.1</w:t>
      </w:r>
      <w:r>
        <w:rPr>
          <w:rFonts w:hint="eastAsia"/>
        </w:rPr>
        <w:t>万元，主要用于：机关及参公管理事业单位正常运转的人员经费。</w:t>
      </w:r>
    </w:p>
    <w:p>
      <w:pPr>
        <w:pStyle w:val="33"/>
        <w:rPr>
          <w:rFonts w:hint="eastAsia"/>
        </w:rPr>
      </w:pPr>
      <w:r>
        <w:rPr>
          <w:rFonts w:hint="eastAsia"/>
        </w:rPr>
        <w:t>3.卫生健康支出（类）公共卫生（款）妇幼保健机构（项）:2021年预算数为</w:t>
      </w:r>
      <w:r>
        <w:rPr>
          <w:rFonts w:hint="eastAsia"/>
          <w:lang w:val="en-US" w:eastAsia="zh-CN"/>
        </w:rPr>
        <w:t>201.1</w:t>
      </w:r>
      <w:r>
        <w:rPr>
          <w:rFonts w:hint="eastAsia"/>
        </w:rPr>
        <w:t>万元，主要用于：机关及参公管理事业单位正常运转的</w:t>
      </w:r>
      <w:r>
        <w:rPr>
          <w:rFonts w:hint="eastAsia"/>
          <w:lang w:val="en-US" w:eastAsia="zh-CN"/>
        </w:rPr>
        <w:t>办公</w:t>
      </w:r>
      <w:r>
        <w:rPr>
          <w:rFonts w:hint="eastAsia"/>
        </w:rPr>
        <w:t>经费</w:t>
      </w:r>
      <w:r>
        <w:rPr>
          <w:rFonts w:hint="eastAsia"/>
          <w:lang w:eastAsia="zh-CN"/>
        </w:rPr>
        <w:t>、</w:t>
      </w:r>
      <w:r>
        <w:rPr>
          <w:rFonts w:hint="eastAsia"/>
          <w:lang w:val="en-US" w:eastAsia="zh-CN"/>
        </w:rPr>
        <w:t>水电费、项目支出等</w:t>
      </w:r>
      <w:r>
        <w:rPr>
          <w:rFonts w:hint="eastAsia"/>
        </w:rPr>
        <w:t>。</w:t>
      </w:r>
    </w:p>
    <w:p>
      <w:pPr>
        <w:pStyle w:val="33"/>
        <w:rPr>
          <w:rFonts w:hint="eastAsia"/>
        </w:rPr>
      </w:pPr>
      <w:r>
        <w:rPr>
          <w:rFonts w:hint="eastAsia"/>
        </w:rPr>
        <w:t>4.卫生健康支出（类）行政事业单位医疗（款）事业单位医疗（项）:2021年预算数为</w:t>
      </w:r>
      <w:r>
        <w:rPr>
          <w:rFonts w:hint="eastAsia"/>
          <w:lang w:val="en-US" w:eastAsia="zh-CN"/>
        </w:rPr>
        <w:t>8.9</w:t>
      </w:r>
      <w:r>
        <w:rPr>
          <w:rFonts w:hint="eastAsia"/>
        </w:rPr>
        <w:t>万元，主要用于：事业单位医疗人员经费支出。</w:t>
      </w:r>
    </w:p>
    <w:p>
      <w:pPr>
        <w:pStyle w:val="33"/>
        <w:rPr>
          <w:rFonts w:hint="eastAsia"/>
        </w:rPr>
      </w:pPr>
      <w:r>
        <w:rPr>
          <w:rFonts w:hint="eastAsia"/>
        </w:rPr>
        <w:t>5.卫生健康支出（类）行政事业单位医疗（款）  公务员医疗补助（项）:2021年预算数为</w:t>
      </w:r>
      <w:r>
        <w:rPr>
          <w:rFonts w:hint="eastAsia"/>
          <w:lang w:val="en-US" w:eastAsia="zh-CN"/>
        </w:rPr>
        <w:t>0.7</w:t>
      </w:r>
      <w:r>
        <w:rPr>
          <w:rFonts w:hint="eastAsia"/>
        </w:rPr>
        <w:t>万元，主要用于：机关及参公管理事业单位正常运转的人员经费。</w:t>
      </w:r>
    </w:p>
    <w:p>
      <w:pPr>
        <w:pStyle w:val="33"/>
        <w:rPr>
          <w:rFonts w:hint="eastAsia"/>
        </w:rPr>
      </w:pPr>
      <w:r>
        <w:rPr>
          <w:rFonts w:hint="eastAsia"/>
        </w:rPr>
        <w:t>6.住房保障支出（类）住房改革支出（款）  住房公积金（项）:2021年预算数为</w:t>
      </w:r>
      <w:r>
        <w:rPr>
          <w:rFonts w:hint="eastAsia"/>
          <w:lang w:val="en-US" w:eastAsia="zh-CN"/>
        </w:rPr>
        <w:t>27.9</w:t>
      </w:r>
      <w:r>
        <w:rPr>
          <w:rFonts w:hint="eastAsia"/>
        </w:rPr>
        <w:t>万元，主要用于：部门按人力资源和社会保障部、财政部规定的基本工资和津贴补贴以及规定比例为职工缴纳的住房公积金支出。</w:t>
      </w:r>
    </w:p>
    <w:p>
      <w:pPr>
        <w:pStyle w:val="32"/>
        <w:numPr>
          <w:ilvl w:val="0"/>
          <w:numId w:val="5"/>
        </w:numPr>
        <w:ind w:left="0" w:firstLine="637"/>
        <w:rPr>
          <w:rFonts w:hint="eastAsia"/>
        </w:rPr>
      </w:pPr>
      <w:bookmarkStart w:id="8" w:name="_Toc19842"/>
      <w:r>
        <w:rPr>
          <w:rFonts w:hint="eastAsia"/>
        </w:rPr>
        <w:t>一般公共预算基本支出情况说明</w:t>
      </w:r>
      <w:bookmarkEnd w:id="8"/>
    </w:p>
    <w:p>
      <w:pPr>
        <w:pStyle w:val="33"/>
        <w:rPr>
          <w:rFonts w:hint="eastAsia"/>
        </w:rPr>
      </w:pPr>
      <w:r>
        <w:rPr>
          <w:rFonts w:hint="eastAsia"/>
        </w:rPr>
        <w:t>乐山市沙湾区妇幼保健计划生育服务中心2021年一般公共预算基本支出</w:t>
      </w:r>
      <w:r>
        <w:rPr>
          <w:rFonts w:hint="eastAsia"/>
          <w:lang w:val="en-US" w:eastAsia="zh-CN"/>
        </w:rPr>
        <w:t>254.6</w:t>
      </w:r>
      <w:r>
        <w:rPr>
          <w:rFonts w:hint="eastAsia"/>
        </w:rPr>
        <w:t>万元，其中：</w:t>
      </w:r>
    </w:p>
    <w:p>
      <w:pPr>
        <w:pStyle w:val="33"/>
        <w:rPr>
          <w:rFonts w:hint="eastAsia"/>
          <w:highlight w:val="cyan"/>
        </w:rPr>
      </w:pPr>
      <w:r>
        <w:rPr>
          <w:rFonts w:hint="eastAsia"/>
        </w:rPr>
        <w:t>人员经费</w:t>
      </w:r>
      <w:r>
        <w:rPr>
          <w:rFonts w:hint="eastAsia"/>
          <w:lang w:val="en-US" w:eastAsia="zh-CN"/>
        </w:rPr>
        <w:t>205.6</w:t>
      </w:r>
      <w:r>
        <w:rPr>
          <w:rFonts w:hint="eastAsia"/>
        </w:rPr>
        <w:t>万元，主要包括：基本工资、津贴补贴、奖金、伙食补助费、绩效工资、机关事业单位基本养老保险缴费、职业年金缴费、职工基本医疗保险缴费、其他社会保障缴费、住房公积金、其他工资福利支出、离休费、抚恤金、生活补助、其他对个人和家庭的补助支出。</w:t>
      </w:r>
    </w:p>
    <w:p>
      <w:pPr>
        <w:pStyle w:val="33"/>
        <w:rPr>
          <w:rFonts w:hint="eastAsia"/>
        </w:rPr>
      </w:pPr>
      <w:r>
        <w:rPr>
          <w:rFonts w:hint="eastAsia"/>
        </w:rPr>
        <w:t>公用经费</w:t>
      </w:r>
      <w:r>
        <w:rPr>
          <w:rFonts w:hint="eastAsia"/>
          <w:lang w:val="en-US" w:eastAsia="zh-CN"/>
        </w:rPr>
        <w:t>49</w:t>
      </w:r>
      <w:r>
        <w:rPr>
          <w:rFonts w:hint="eastAsia"/>
        </w:rPr>
        <w:t>万元，主要包括：办公费、印刷费、水费、电费、邮电费、差旅费、维修（护）费、会议费、培训费、劳务费、工会经费、福利费、公务用车运行维护费、其他交通费、其他商品和服务支出。</w:t>
      </w:r>
    </w:p>
    <w:p>
      <w:pPr>
        <w:pStyle w:val="32"/>
        <w:numPr>
          <w:ilvl w:val="0"/>
          <w:numId w:val="5"/>
        </w:numPr>
        <w:ind w:left="0" w:firstLine="637"/>
        <w:rPr>
          <w:rFonts w:hint="eastAsia"/>
        </w:rPr>
      </w:pPr>
      <w:bookmarkStart w:id="9" w:name="_Toc27588"/>
      <w:r>
        <w:rPr>
          <w:rFonts w:hint="eastAsia"/>
        </w:rPr>
        <w:t>政府性基金预算支出规模及变化情况说明</w:t>
      </w:r>
      <w:bookmarkEnd w:id="9"/>
    </w:p>
    <w:p>
      <w:pPr>
        <w:pStyle w:val="33"/>
        <w:rPr>
          <w:rFonts w:hint="eastAsia"/>
        </w:rPr>
      </w:pPr>
      <w:r>
        <w:rPr>
          <w:rFonts w:hint="eastAsia"/>
        </w:rPr>
        <w:t>2021年，乐山市沙湾区妇幼保健计划生育服务中心没有政府性基金预算支出</w:t>
      </w:r>
    </w:p>
    <w:p>
      <w:pPr>
        <w:pStyle w:val="33"/>
        <w:outlineLvl w:val="0"/>
        <w:rPr>
          <w:rFonts w:hint="eastAsia"/>
        </w:rPr>
      </w:pPr>
      <w:bookmarkStart w:id="10" w:name="_Toc7663"/>
      <w:r>
        <w:rPr>
          <w:rFonts w:hint="eastAsia" w:ascii="黑体" w:eastAsia="黑体"/>
        </w:rPr>
        <w:t>八、“三公”经费预算安排情况说明</w:t>
      </w:r>
      <w:bookmarkEnd w:id="10"/>
    </w:p>
    <w:p>
      <w:pPr>
        <w:pStyle w:val="33"/>
        <w:rPr>
          <w:rFonts w:hint="eastAsia"/>
        </w:rPr>
      </w:pPr>
      <w:r>
        <w:rPr>
          <w:rFonts w:hint="eastAsia"/>
        </w:rPr>
        <w:t>乐山市沙湾区妇幼保健计划生育服务中心2021年“三公”经费预算数</w:t>
      </w:r>
      <w:r>
        <w:rPr>
          <w:rFonts w:hint="eastAsia"/>
          <w:lang w:val="en-US" w:eastAsia="zh-CN"/>
        </w:rPr>
        <w:t>16.3</w:t>
      </w:r>
      <w:r>
        <w:rPr>
          <w:rFonts w:hint="eastAsia"/>
        </w:rPr>
        <w:t>万元，较上年“三公”经费预算数减少</w:t>
      </w:r>
      <w:r>
        <w:rPr>
          <w:rFonts w:hint="eastAsia"/>
          <w:lang w:val="en-US" w:eastAsia="zh-CN"/>
        </w:rPr>
        <w:t>0.1</w:t>
      </w:r>
      <w:r>
        <w:rPr>
          <w:rFonts w:hint="eastAsia"/>
        </w:rPr>
        <w:t>万元。其中财政拨款安排“三公”经费</w:t>
      </w:r>
      <w:r>
        <w:rPr>
          <w:rFonts w:hint="eastAsia"/>
          <w:lang w:val="en-US" w:eastAsia="zh-CN"/>
        </w:rPr>
        <w:t>16.3</w:t>
      </w:r>
      <w:r>
        <w:rPr>
          <w:rFonts w:hint="eastAsia"/>
        </w:rPr>
        <w:t>万元。因公出国（境）经费</w:t>
      </w:r>
      <w:r>
        <w:rPr>
          <w:rFonts w:hint="eastAsia"/>
          <w:lang w:val="en-US" w:eastAsia="zh-CN"/>
        </w:rPr>
        <w:t>0</w:t>
      </w:r>
      <w:r>
        <w:rPr>
          <w:rFonts w:hint="eastAsia"/>
        </w:rPr>
        <w:t>万元，公务接待费</w:t>
      </w:r>
      <w:r>
        <w:rPr>
          <w:rFonts w:hint="eastAsia"/>
          <w:lang w:val="en-US" w:eastAsia="zh-CN"/>
        </w:rPr>
        <w:t>3.4</w:t>
      </w:r>
      <w:r>
        <w:rPr>
          <w:rFonts w:hint="eastAsia"/>
        </w:rPr>
        <w:t>万元，公务用车购置及运行维护费</w:t>
      </w:r>
      <w:r>
        <w:rPr>
          <w:rFonts w:hint="eastAsia"/>
          <w:lang w:val="en-US" w:eastAsia="zh-CN"/>
        </w:rPr>
        <w:t>12.9</w:t>
      </w:r>
      <w:r>
        <w:rPr>
          <w:rFonts w:hint="eastAsia"/>
        </w:rPr>
        <w:t>万元。</w:t>
      </w:r>
    </w:p>
    <w:p>
      <w:pPr>
        <w:pStyle w:val="33"/>
        <w:numPr>
          <w:ilvl w:val="0"/>
          <w:numId w:val="6"/>
        </w:numPr>
        <w:rPr>
          <w:rFonts w:hint="eastAsia"/>
        </w:rPr>
      </w:pPr>
      <w:r>
        <w:rPr>
          <w:rFonts w:hint="eastAsia"/>
        </w:rPr>
        <w:t>因公出国（境）经费较上年预算增加持平</w:t>
      </w:r>
      <w:r>
        <w:rPr>
          <w:rFonts w:hint="eastAsia"/>
          <w:lang w:val="en-US" w:eastAsia="zh-CN"/>
        </w:rPr>
        <w:t>0</w:t>
      </w:r>
      <w:r>
        <w:rPr>
          <w:rFonts w:hint="eastAsia"/>
        </w:rPr>
        <w:t>万元，增长（下降）</w:t>
      </w:r>
      <w:r>
        <w:rPr>
          <w:rFonts w:hint="eastAsia"/>
          <w:lang w:val="en-US" w:eastAsia="zh-CN"/>
        </w:rPr>
        <w:t>0</w:t>
      </w:r>
      <w:r>
        <w:rPr>
          <w:rFonts w:hint="eastAsia"/>
        </w:rPr>
        <w:t>%。</w:t>
      </w:r>
    </w:p>
    <w:p>
      <w:pPr>
        <w:pStyle w:val="33"/>
        <w:numPr>
          <w:ilvl w:val="0"/>
          <w:numId w:val="0"/>
        </w:numPr>
        <w:ind w:firstLine="640" w:firstLineChars="200"/>
      </w:pPr>
      <w:r>
        <w:rPr>
          <w:rFonts w:hint="eastAsia"/>
        </w:rPr>
        <w:t>2.公务接待费较上年预算增加持平</w:t>
      </w:r>
      <w:r>
        <w:rPr>
          <w:rFonts w:hint="eastAsia"/>
          <w:lang w:val="en-US" w:eastAsia="zh-CN"/>
        </w:rPr>
        <w:t>3.4</w:t>
      </w:r>
      <w:r>
        <w:rPr>
          <w:rFonts w:hint="eastAsia"/>
        </w:rPr>
        <w:t>万元，增长</w:t>
      </w:r>
      <w:r>
        <w:rPr>
          <w:rFonts w:hint="eastAsia"/>
          <w:lang w:val="en-US" w:eastAsia="zh-CN"/>
        </w:rPr>
        <w:t>2.94</w:t>
      </w:r>
      <w:r>
        <w:rPr>
          <w:rFonts w:hint="eastAsia"/>
        </w:rPr>
        <w:t>%。主要原因是</w:t>
      </w:r>
      <w:r>
        <w:rPr>
          <w:rFonts w:hint="eastAsia"/>
          <w:lang w:val="en-US" w:eastAsia="zh-CN"/>
        </w:rPr>
        <w:t>由于物价上涨，公务接待费细微增长</w:t>
      </w:r>
      <w:r>
        <w:rPr>
          <w:rFonts w:hint="eastAsia"/>
        </w:rPr>
        <w:t>。</w:t>
      </w:r>
    </w:p>
    <w:p>
      <w:pPr>
        <w:pStyle w:val="33"/>
      </w:pPr>
      <w:r>
        <w:rPr>
          <w:rFonts w:hint="eastAsia"/>
        </w:rPr>
        <w:t>2021年公务接待费计划用于</w:t>
      </w:r>
      <w:r>
        <w:rPr>
          <w:rFonts w:hint="eastAsia"/>
          <w:lang w:val="en-US" w:eastAsia="zh-CN"/>
        </w:rPr>
        <w:t>餐费、住宿、交通</w:t>
      </w:r>
      <w:r>
        <w:rPr>
          <w:rFonts w:hint="eastAsia"/>
        </w:rPr>
        <w:t>等。</w:t>
      </w:r>
    </w:p>
    <w:p>
      <w:pPr>
        <w:pStyle w:val="33"/>
        <w:rPr>
          <w:rFonts w:hint="eastAsia"/>
        </w:rPr>
      </w:pPr>
      <w:r>
        <w:rPr>
          <w:rFonts w:hint="eastAsia"/>
        </w:rPr>
        <w:t>3.公务用车购置及运行维护费较上年预算增加持平</w:t>
      </w:r>
      <w:r>
        <w:rPr>
          <w:rFonts w:hint="eastAsia"/>
          <w:lang w:val="en-US" w:eastAsia="zh-CN"/>
        </w:rPr>
        <w:t>12.9</w:t>
      </w:r>
      <w:r>
        <w:rPr>
          <w:rFonts w:hint="eastAsia"/>
        </w:rPr>
        <w:t>万元，增长（下降）</w:t>
      </w:r>
      <w:r>
        <w:rPr>
          <w:rFonts w:hint="eastAsia"/>
          <w:lang w:val="en-US" w:eastAsia="zh-CN"/>
        </w:rPr>
        <w:t>0</w:t>
      </w:r>
      <w:r>
        <w:rPr>
          <w:rFonts w:hint="eastAsia"/>
        </w:rPr>
        <w:t>%。单位现有公务用车</w:t>
      </w:r>
      <w:r>
        <w:rPr>
          <w:rFonts w:hint="eastAsia"/>
          <w:lang w:val="en-US" w:eastAsia="zh-CN"/>
        </w:rPr>
        <w:t>3</w:t>
      </w:r>
      <w:r>
        <w:rPr>
          <w:rFonts w:hint="eastAsia"/>
        </w:rPr>
        <w:t>辆，其中：轿车</w:t>
      </w:r>
      <w:r>
        <w:rPr>
          <w:rFonts w:hint="eastAsia"/>
          <w:lang w:val="en-US" w:eastAsia="zh-CN"/>
        </w:rPr>
        <w:t>0</w:t>
      </w:r>
      <w:r>
        <w:rPr>
          <w:rFonts w:hint="eastAsia"/>
        </w:rPr>
        <w:t>辆，越野车</w:t>
      </w:r>
      <w:r>
        <w:rPr>
          <w:rFonts w:hint="eastAsia"/>
          <w:lang w:val="en-US" w:eastAsia="zh-CN"/>
        </w:rPr>
        <w:t>0</w:t>
      </w:r>
      <w:r>
        <w:rPr>
          <w:rFonts w:hint="eastAsia"/>
        </w:rPr>
        <w:t>辆，多功能乘用车</w:t>
      </w:r>
      <w:r>
        <w:rPr>
          <w:rFonts w:hint="eastAsia"/>
          <w:lang w:val="en-US" w:eastAsia="zh-CN"/>
        </w:rPr>
        <w:t>3</w:t>
      </w:r>
      <w:r>
        <w:rPr>
          <w:rFonts w:hint="eastAsia"/>
        </w:rPr>
        <w:t>辆。</w:t>
      </w:r>
    </w:p>
    <w:p>
      <w:pPr>
        <w:pStyle w:val="33"/>
      </w:pPr>
      <w:r>
        <w:rPr>
          <w:rFonts w:hint="eastAsia"/>
        </w:rPr>
        <w:t>2021年安排公务用车购置费</w:t>
      </w:r>
      <w:r>
        <w:rPr>
          <w:rFonts w:hint="eastAsia"/>
          <w:lang w:val="en-US" w:eastAsia="zh-CN"/>
        </w:rPr>
        <w:t>0</w:t>
      </w:r>
      <w:r>
        <w:rPr>
          <w:rFonts w:hint="eastAsia"/>
        </w:rPr>
        <w:t>万元。</w:t>
      </w:r>
    </w:p>
    <w:p>
      <w:pPr>
        <w:pStyle w:val="33"/>
        <w:rPr>
          <w:rFonts w:hint="eastAsia"/>
        </w:rPr>
      </w:pPr>
      <w:r>
        <w:rPr>
          <w:rFonts w:hint="eastAsia"/>
        </w:rPr>
        <w:t>2021年安排公务用车运行维护费</w:t>
      </w:r>
      <w:r>
        <w:rPr>
          <w:rFonts w:hint="eastAsia"/>
          <w:lang w:val="en-US" w:eastAsia="zh-CN"/>
        </w:rPr>
        <w:t>12.9</w:t>
      </w:r>
      <w:r>
        <w:rPr>
          <w:rFonts w:hint="eastAsia"/>
        </w:rPr>
        <w:t>万元，用于公务用车运行维护。</w:t>
      </w:r>
    </w:p>
    <w:p>
      <w:pPr>
        <w:pStyle w:val="32"/>
        <w:numPr>
          <w:ilvl w:val="0"/>
          <w:numId w:val="7"/>
        </w:numPr>
        <w:rPr>
          <w:rFonts w:hint="eastAsia"/>
        </w:rPr>
      </w:pPr>
      <w:bookmarkStart w:id="11" w:name="_Toc3719"/>
      <w:r>
        <w:rPr>
          <w:rFonts w:hint="eastAsia"/>
        </w:rPr>
        <w:t>其他重要事项的情况说明</w:t>
      </w:r>
      <w:bookmarkEnd w:id="11"/>
    </w:p>
    <w:p>
      <w:pPr>
        <w:pStyle w:val="34"/>
        <w:numPr>
          <w:ilvl w:val="0"/>
          <w:numId w:val="8"/>
        </w:numPr>
        <w:rPr>
          <w:rFonts w:hint="eastAsia"/>
        </w:rPr>
      </w:pPr>
      <w:bookmarkStart w:id="12" w:name="_Toc23974"/>
      <w:r>
        <w:rPr>
          <w:rFonts w:hint="eastAsia"/>
        </w:rPr>
        <w:t>机关运行经费。</w:t>
      </w:r>
      <w:bookmarkEnd w:id="12"/>
    </w:p>
    <w:p>
      <w:pPr>
        <w:pStyle w:val="33"/>
        <w:rPr>
          <w:rFonts w:hint="eastAsia"/>
        </w:rPr>
      </w:pPr>
      <w:r>
        <w:rPr>
          <w:rFonts w:hint="eastAsia"/>
        </w:rPr>
        <w:t>2021年，乐山市沙湾区妇幼保健计划生育服务中心为保障单位运行，安排的包括办公及印刷费、邮电费、差旅费、会议费、福利费、日常维修费、专用材料及一般设备购置费、办公用房水电费、办公用房取暖费、办公用房物业管理费、公务用车运行维护费以及其他费用等机关运行经费预算为</w:t>
      </w:r>
      <w:r>
        <w:rPr>
          <w:rFonts w:hint="eastAsia"/>
          <w:lang w:val="en-US" w:eastAsia="zh-CN"/>
        </w:rPr>
        <w:t>49</w:t>
      </w:r>
      <w:r>
        <w:rPr>
          <w:rFonts w:hint="eastAsia"/>
        </w:rPr>
        <w:t>万元，较上年预算增加</w:t>
      </w:r>
      <w:r>
        <w:rPr>
          <w:rFonts w:hint="eastAsia"/>
          <w:lang w:val="en-US" w:eastAsia="zh-CN"/>
        </w:rPr>
        <w:t>7.54</w:t>
      </w:r>
      <w:r>
        <w:rPr>
          <w:rFonts w:hint="eastAsia"/>
        </w:rPr>
        <w:t>万元，增长</w:t>
      </w:r>
      <w:r>
        <w:rPr>
          <w:rFonts w:hint="eastAsia"/>
          <w:lang w:val="en-US" w:eastAsia="zh-CN"/>
        </w:rPr>
        <w:t>15.38</w:t>
      </w:r>
      <w:r>
        <w:rPr>
          <w:rFonts w:hint="eastAsia"/>
        </w:rPr>
        <w:t>%。以上科目主要来自于公用经费及部分项目支出科目。</w:t>
      </w:r>
    </w:p>
    <w:p>
      <w:pPr>
        <w:pStyle w:val="34"/>
        <w:rPr>
          <w:rFonts w:hint="eastAsia"/>
        </w:rPr>
      </w:pPr>
      <w:bookmarkStart w:id="13" w:name="_Toc11007"/>
      <w:r>
        <w:rPr>
          <w:rFonts w:hint="eastAsia"/>
        </w:rPr>
        <w:t>政府采购情况。</w:t>
      </w:r>
      <w:bookmarkEnd w:id="13"/>
    </w:p>
    <w:p>
      <w:pPr>
        <w:pStyle w:val="33"/>
        <w:rPr>
          <w:rFonts w:hint="eastAsia"/>
        </w:rPr>
      </w:pPr>
      <w:r>
        <w:rPr>
          <w:rFonts w:hint="eastAsia"/>
        </w:rPr>
        <w:t>2021年，乐山市沙湾区妇幼保健计划生育服务中心未安排政府采购预算。</w:t>
      </w:r>
    </w:p>
    <w:p>
      <w:pPr>
        <w:pStyle w:val="34"/>
        <w:rPr>
          <w:rFonts w:hint="eastAsia"/>
        </w:rPr>
      </w:pPr>
      <w:bookmarkStart w:id="14" w:name="_Toc31361"/>
      <w:r>
        <w:rPr>
          <w:rFonts w:hint="eastAsia"/>
        </w:rPr>
        <w:t>国有资产占有使用情况。</w:t>
      </w:r>
      <w:bookmarkEnd w:id="14"/>
    </w:p>
    <w:p>
      <w:pPr>
        <w:pStyle w:val="33"/>
        <w:rPr>
          <w:rFonts w:hint="eastAsia"/>
        </w:rPr>
      </w:pPr>
      <w:r>
        <w:rPr>
          <w:rFonts w:hint="eastAsia"/>
        </w:rPr>
        <w:t>截至去年底，乐山市沙湾区妇幼保健计划生育服务中心共有车辆</w:t>
      </w:r>
      <w:r>
        <w:rPr>
          <w:rFonts w:hint="eastAsia"/>
          <w:lang w:val="en-US" w:eastAsia="zh-CN"/>
        </w:rPr>
        <w:t>3</w:t>
      </w:r>
      <w:r>
        <w:rPr>
          <w:rFonts w:hint="eastAsia"/>
        </w:rPr>
        <w:t>辆。单位价值200万元以上大型设备</w:t>
      </w:r>
      <w:r>
        <w:rPr>
          <w:rFonts w:hint="eastAsia"/>
          <w:lang w:val="en-US" w:eastAsia="zh-CN"/>
        </w:rPr>
        <w:t>0</w:t>
      </w:r>
      <w:r>
        <w:rPr>
          <w:rFonts w:hint="eastAsia"/>
        </w:rPr>
        <w:t>台（套）。</w:t>
      </w:r>
    </w:p>
    <w:p>
      <w:pPr>
        <w:pStyle w:val="33"/>
        <w:rPr>
          <w:rFonts w:hint="eastAsia"/>
        </w:rPr>
      </w:pPr>
      <w:r>
        <w:rPr>
          <w:rFonts w:hint="eastAsia"/>
        </w:rPr>
        <w:t>2021年，部门预算安排购置车辆及单位价值200万元以上大型设备</w:t>
      </w:r>
      <w:r>
        <w:rPr>
          <w:rFonts w:hint="eastAsia"/>
          <w:lang w:val="en-US" w:eastAsia="zh-CN"/>
        </w:rPr>
        <w:t>0</w:t>
      </w:r>
      <w:r>
        <w:rPr>
          <w:rFonts w:hint="eastAsia"/>
        </w:rPr>
        <w:t>万元。</w:t>
      </w:r>
    </w:p>
    <w:p>
      <w:pPr>
        <w:pStyle w:val="34"/>
        <w:rPr>
          <w:rFonts w:hint="eastAsia"/>
        </w:rPr>
      </w:pPr>
      <w:bookmarkStart w:id="15" w:name="_Toc28227"/>
      <w:r>
        <w:rPr>
          <w:rFonts w:hint="eastAsia"/>
        </w:rPr>
        <w:t>绩效目标设置情况。</w:t>
      </w:r>
      <w:bookmarkEnd w:id="15"/>
    </w:p>
    <w:p>
      <w:pPr>
        <w:pStyle w:val="33"/>
        <w:rPr>
          <w:rFonts w:hint="eastAsia"/>
        </w:rPr>
      </w:pPr>
      <w:r>
        <w:rPr>
          <w:rFonts w:hint="eastAsia"/>
        </w:rPr>
        <w:t>2021年，乐山市沙湾区妇幼保健计划生育服务中心按要求实行绩效目标管理，部门整体绩效目标涉及预算安排</w:t>
      </w:r>
      <w:r>
        <w:rPr>
          <w:rFonts w:hint="eastAsia"/>
          <w:lang w:val="en-US" w:eastAsia="zh-CN"/>
        </w:rPr>
        <w:t>254.6</w:t>
      </w:r>
      <w:r>
        <w:rPr>
          <w:rFonts w:hint="eastAsia"/>
        </w:rPr>
        <w:t>万元，其中编制了项目绩效目标的预算</w:t>
      </w:r>
      <w:r>
        <w:rPr>
          <w:rFonts w:hint="eastAsia"/>
          <w:lang w:val="en-US" w:eastAsia="zh-CN"/>
        </w:rPr>
        <w:t>8</w:t>
      </w:r>
      <w:r>
        <w:rPr>
          <w:rFonts w:hint="eastAsia"/>
        </w:rPr>
        <w:t>万元，主要为国家免费孕前优生健康检查项目、计划生育免费技术服务项目</w:t>
      </w:r>
      <w:r>
        <w:rPr>
          <w:rFonts w:hint="eastAsia"/>
          <w:lang w:eastAsia="zh-CN"/>
        </w:rPr>
        <w:t>、免费婚前医学检查项目</w:t>
      </w:r>
      <w:r>
        <w:rPr>
          <w:rFonts w:hint="eastAsia"/>
        </w:rPr>
        <w:t>。</w:t>
      </w:r>
    </w:p>
    <w:p>
      <w:pPr>
        <w:pStyle w:val="32"/>
        <w:numPr>
          <w:ilvl w:val="0"/>
          <w:numId w:val="7"/>
        </w:numPr>
        <w:ind w:left="0" w:firstLine="637"/>
        <w:rPr>
          <w:rFonts w:hint="eastAsia"/>
        </w:rPr>
      </w:pPr>
      <w:bookmarkStart w:id="16" w:name="_Toc4439"/>
      <w:r>
        <w:rPr>
          <w:rFonts w:hint="eastAsia"/>
        </w:rPr>
        <w:t>名词解释（各部门根据实际情况对名词解释进行增加或删减）</w:t>
      </w:r>
      <w:bookmarkEnd w:id="16"/>
    </w:p>
    <w:p>
      <w:pPr>
        <w:pStyle w:val="35"/>
        <w:ind w:left="-5" w:leftChars="0" w:firstLineChars="0"/>
        <w:rPr>
          <w:rFonts w:hint="eastAsia" w:ascii="仿宋_GB2312" w:eastAsia="仿宋_GB2312"/>
        </w:rPr>
      </w:pPr>
      <w:r>
        <w:rPr>
          <w:rFonts w:hint="eastAsia" w:ascii="仿宋_GB2312" w:eastAsia="仿宋_GB2312"/>
        </w:rPr>
        <w:t>财政拨款收支情况：</w:t>
      </w:r>
      <w:r>
        <w:rPr>
          <w:rFonts w:ascii="仿宋_GB2312" w:eastAsia="仿宋_GB2312"/>
        </w:rPr>
        <w:t>是指</w:t>
      </w:r>
      <w:r>
        <w:rPr>
          <w:rFonts w:hint="eastAsia" w:ascii="仿宋_GB2312" w:eastAsia="仿宋_GB2312"/>
        </w:rPr>
        <w:t>一般公共预算、政府性基金预算、国有资本经营预算拨款收支情况。</w:t>
      </w:r>
    </w:p>
    <w:p>
      <w:pPr>
        <w:pStyle w:val="35"/>
        <w:ind w:left="-5" w:leftChars="0" w:firstLineChars="0"/>
        <w:rPr>
          <w:rFonts w:hint="eastAsia" w:ascii="仿宋_GB2312" w:eastAsia="仿宋_GB2312"/>
        </w:rPr>
      </w:pPr>
      <w:r>
        <w:rPr>
          <w:rFonts w:hint="eastAsia" w:ascii="仿宋_GB2312" w:eastAsia="仿宋_GB2312"/>
        </w:rPr>
        <w:t>一般公共预算拨款收入：指市级财政当年拨付的资金。</w:t>
      </w:r>
    </w:p>
    <w:p>
      <w:pPr>
        <w:pStyle w:val="35"/>
        <w:ind w:left="-5" w:leftChars="0" w:firstLineChars="0"/>
        <w:rPr>
          <w:rFonts w:hint="eastAsia" w:ascii="仿宋_GB2312" w:eastAsia="仿宋_GB2312"/>
        </w:rPr>
      </w:pPr>
      <w:r>
        <w:rPr>
          <w:rStyle w:val="11"/>
          <w:rFonts w:hint="eastAsia" w:ascii="仿宋_GB2312" w:eastAsia="仿宋_GB2312"/>
        </w:rPr>
        <w:t>事业收入：指事业单位开展专业业务活动及辅助活动所取得的收入。</w:t>
      </w:r>
    </w:p>
    <w:p>
      <w:pPr>
        <w:pStyle w:val="35"/>
        <w:ind w:left="-5" w:leftChars="0" w:firstLineChars="0"/>
        <w:rPr>
          <w:rStyle w:val="11"/>
          <w:rFonts w:hint="eastAsia" w:ascii="仿宋_GB2312" w:eastAsia="仿宋_GB2312"/>
        </w:rPr>
      </w:pPr>
      <w:r>
        <w:rPr>
          <w:rStyle w:val="11"/>
          <w:rFonts w:hint="eastAsia" w:ascii="仿宋_GB2312" w:eastAsia="仿宋_GB2312"/>
        </w:rPr>
        <w:t>事业单位经营收入：指事业单位在专业业务活动及其辅助活动之外开展非独立核算经营活动取得的收入。</w:t>
      </w:r>
    </w:p>
    <w:p>
      <w:pPr>
        <w:pStyle w:val="35"/>
        <w:ind w:left="-5" w:leftChars="0" w:firstLineChars="0"/>
        <w:rPr>
          <w:rFonts w:hint="eastAsia" w:ascii="仿宋_GB2312" w:eastAsia="仿宋_GB2312"/>
        </w:rPr>
      </w:pPr>
      <w:r>
        <w:rPr>
          <w:rFonts w:hint="eastAsia" w:ascii="仿宋_GB2312" w:eastAsia="仿宋_GB2312"/>
        </w:rPr>
        <w:t>其他收入：指除上述“一般公共预算拨款收入”、“</w:t>
      </w:r>
      <w:r>
        <w:rPr>
          <w:rStyle w:val="11"/>
          <w:rFonts w:hint="eastAsia" w:ascii="仿宋_GB2312" w:eastAsia="仿宋_GB2312"/>
        </w:rPr>
        <w:t>事业收入</w:t>
      </w:r>
      <w:r>
        <w:rPr>
          <w:rFonts w:hint="eastAsia" w:ascii="仿宋_GB2312" w:eastAsia="仿宋_GB2312"/>
        </w:rPr>
        <w:t>”、“</w:t>
      </w:r>
      <w:r>
        <w:rPr>
          <w:rStyle w:val="11"/>
          <w:rFonts w:hint="eastAsia" w:ascii="仿宋_GB2312" w:eastAsia="仿宋_GB2312"/>
        </w:rPr>
        <w:t>事业单位经营收入</w:t>
      </w:r>
      <w:r>
        <w:rPr>
          <w:rFonts w:hint="eastAsia" w:ascii="仿宋_GB2312" w:eastAsia="仿宋_GB2312"/>
        </w:rPr>
        <w:t>”等以外的收入。</w:t>
      </w:r>
    </w:p>
    <w:p>
      <w:pPr>
        <w:pStyle w:val="35"/>
        <w:ind w:left="-5" w:leftChars="0" w:firstLineChars="0"/>
        <w:rPr>
          <w:rFonts w:hint="eastAsia" w:ascii="仿宋_GB2312" w:eastAsia="仿宋_GB2312"/>
        </w:rPr>
      </w:pPr>
      <w:r>
        <w:rPr>
          <w:rFonts w:hint="eastAsia" w:ascii="仿宋_GB2312" w:eastAsia="仿宋_GB2312"/>
        </w:rPr>
        <w:t>上年结转：指以前年度尚未完成，结转到本年仍按原规定用途继续使用的资金。</w:t>
      </w:r>
    </w:p>
    <w:p>
      <w:pPr>
        <w:pStyle w:val="35"/>
        <w:ind w:left="-5" w:leftChars="0" w:firstLineChars="0"/>
        <w:rPr>
          <w:rFonts w:hint="eastAsia" w:ascii="仿宋_GB2312" w:eastAsia="仿宋_GB2312"/>
        </w:rPr>
      </w:pPr>
      <w:r>
        <w:rPr>
          <w:rFonts w:hint="eastAsia" w:ascii="仿宋_GB2312" w:eastAsia="仿宋_GB2312"/>
        </w:rPr>
        <w:t>社会保障和就业（类）行政事业单位离退休（款）机关事业单位基本养老保险缴费支出（项）：指部门实施养老保险制度由单位缴纳的养老保险费的支出。</w:t>
      </w:r>
    </w:p>
    <w:p>
      <w:pPr>
        <w:pStyle w:val="35"/>
        <w:ind w:left="-5" w:leftChars="0" w:firstLineChars="0"/>
        <w:rPr>
          <w:rFonts w:hint="eastAsia" w:ascii="仿宋_GB2312" w:eastAsia="仿宋_GB2312"/>
        </w:rPr>
      </w:pPr>
      <w:r>
        <w:rPr>
          <w:rFonts w:hint="eastAsia" w:ascii="仿宋_GB2312" w:eastAsia="仿宋_GB2312"/>
        </w:rPr>
        <w:t>社会保障和就业（类）其他社会保障和就业（款）其他社会保障和就业支出（项）：指除上述项目外，其他用于行政事业单位离退休方面的支出。</w:t>
      </w:r>
    </w:p>
    <w:p>
      <w:pPr>
        <w:pStyle w:val="35"/>
        <w:ind w:left="-5" w:leftChars="0" w:firstLineChars="0"/>
        <w:rPr>
          <w:rFonts w:hint="eastAsia" w:ascii="仿宋" w:hAnsi="仿宋" w:eastAsia="仿宋" w:cs="仿宋"/>
        </w:rPr>
      </w:pPr>
      <w:r>
        <w:rPr>
          <w:rFonts w:hint="eastAsia" w:ascii="仿宋_GB2312" w:eastAsia="仿宋_GB2312"/>
        </w:rPr>
        <w:t>卫生健康支出（类）公共卫生（款）妇幼保健机构（项）：指由单位</w:t>
      </w:r>
      <w:r>
        <w:rPr>
          <w:rFonts w:hint="eastAsia" w:ascii="仿宋" w:hAnsi="仿宋" w:eastAsia="仿宋" w:cs="仿宋"/>
        </w:rPr>
        <w:t>办公及印刷费、邮电费、差旅费、会议费、福利费、日常维修费、专用材料及一般设备购置费、办公用房水电费、办公用房取暖费、办公用房物业管理费、公务用车运行维护费以及其他费用</w:t>
      </w:r>
      <w:r>
        <w:rPr>
          <w:rFonts w:hint="eastAsia" w:ascii="仿宋" w:hAnsi="仿宋" w:eastAsia="仿宋" w:cs="仿宋"/>
          <w:lang w:eastAsia="zh-CN"/>
        </w:rPr>
        <w:t>。</w:t>
      </w:r>
    </w:p>
    <w:p>
      <w:pPr>
        <w:pStyle w:val="35"/>
        <w:ind w:left="-5" w:leftChars="0" w:firstLineChars="0"/>
        <w:rPr>
          <w:rFonts w:hint="eastAsia" w:ascii="仿宋" w:hAnsi="仿宋" w:eastAsia="仿宋" w:cs="仿宋"/>
        </w:rPr>
      </w:pPr>
      <w:r>
        <w:rPr>
          <w:rFonts w:hint="eastAsia" w:ascii="仿宋_GB2312" w:eastAsia="仿宋_GB2312"/>
        </w:rPr>
        <w:t>卫生健康支出（类）行政事业单位医疗（款）事业单位医疗（项）：指部门实施医疗保险制度由单位缴纳的事业单位医疗费的支出。</w:t>
      </w:r>
    </w:p>
    <w:p>
      <w:pPr>
        <w:pStyle w:val="35"/>
        <w:ind w:left="-5" w:leftChars="0" w:firstLineChars="0"/>
        <w:rPr>
          <w:rFonts w:hint="eastAsia" w:ascii="仿宋" w:hAnsi="仿宋" w:eastAsia="仿宋" w:cs="仿宋"/>
        </w:rPr>
      </w:pPr>
      <w:r>
        <w:rPr>
          <w:rFonts w:hint="eastAsia" w:ascii="仿宋_GB2312" w:eastAsia="仿宋_GB2312"/>
        </w:rPr>
        <w:t>卫生健康支出（类）行政事业单位医疗（款）公务员医疗补助（项）：指部门实施医疗保险制度由单位缴纳的事业单位医疗费的支出。</w:t>
      </w:r>
    </w:p>
    <w:p>
      <w:pPr>
        <w:pStyle w:val="35"/>
        <w:ind w:left="-5" w:leftChars="0" w:firstLineChars="0"/>
        <w:rPr>
          <w:rFonts w:hint="eastAsia" w:ascii="仿宋_GB2312" w:eastAsia="仿宋_GB2312"/>
        </w:rPr>
      </w:pPr>
      <w:r>
        <w:rPr>
          <w:rFonts w:hint="eastAsia" w:ascii="仿宋_GB2312" w:eastAsia="仿宋_GB2312"/>
        </w:rPr>
        <w:t>住房保障（类）住房改革支出（款）住房公积金（项）：指由单位及其在职职工按规定缴存的住房公积金支出。</w:t>
      </w:r>
    </w:p>
    <w:p>
      <w:pPr>
        <w:pStyle w:val="35"/>
        <w:ind w:left="-5" w:leftChars="0" w:firstLineChars="0"/>
        <w:rPr>
          <w:rFonts w:hint="eastAsia" w:ascii="仿宋_GB2312" w:eastAsia="仿宋_GB2312"/>
        </w:rPr>
      </w:pPr>
      <w:r>
        <w:rPr>
          <w:rFonts w:hint="eastAsia" w:ascii="仿宋_GB2312" w:eastAsia="仿宋_GB2312"/>
        </w:rPr>
        <w:t>基本支出：指为保证机构正常运转，完成日常工作任务而发生的人员支出和公用支出。</w:t>
      </w:r>
    </w:p>
    <w:p>
      <w:pPr>
        <w:pStyle w:val="35"/>
        <w:ind w:left="-5" w:leftChars="0" w:firstLineChars="0"/>
        <w:rPr>
          <w:rFonts w:hint="eastAsia" w:ascii="仿宋_GB2312" w:eastAsia="仿宋_GB2312"/>
        </w:rPr>
      </w:pPr>
      <w:r>
        <w:rPr>
          <w:rFonts w:hint="eastAsia" w:ascii="仿宋_GB2312" w:eastAsia="仿宋_GB2312"/>
        </w:rPr>
        <w:t>项目支出：指在基本支出之外为完成特定行政任务和事业发展目标所发生的支出。</w:t>
      </w:r>
    </w:p>
    <w:p>
      <w:pPr>
        <w:pStyle w:val="35"/>
        <w:ind w:left="-5" w:leftChars="0" w:firstLineChars="0"/>
        <w:rPr>
          <w:rFonts w:hint="eastAsia" w:ascii="仿宋_GB2312" w:eastAsia="仿宋_GB2312"/>
        </w:rPr>
      </w:pPr>
      <w:r>
        <w:rPr>
          <w:rFonts w:hint="eastAsia" w:ascii="仿宋_GB2312" w:eastAsia="仿宋_GB2312"/>
        </w:rPr>
        <w:t>纳入预算管理的“三公”经费，是指部门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3"/>
        <w:rPr>
          <w:rFonts w:hint="eastAsia"/>
        </w:rPr>
      </w:pPr>
    </w:p>
    <w:sectPr>
      <w:footerReference r:id="rId3" w:type="default"/>
      <w:footerReference r:id="rId4" w:type="even"/>
      <w:pgSz w:w="11906" w:h="16838"/>
      <w:pgMar w:top="2041" w:right="1474" w:bottom="1588" w:left="1474" w:header="851" w:footer="113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ˎ̥">
    <w:altName w:val="Times New Roman"/>
    <w:panose1 w:val="00000000000000000000"/>
    <w:charset w:val="00"/>
    <w:family w:val="roman"/>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wordWrap w:val="0"/>
    </w:pPr>
    <w:r>
      <w:rPr>
        <w:rFonts w:hint="eastAsia"/>
      </w:rPr>
      <w:t>—</w:t>
    </w:r>
    <w:r>
      <w:fldChar w:fldCharType="begin"/>
    </w:r>
    <w:r>
      <w:instrText xml:space="preserve">PAGE   \* MERGEFORMAT</w:instrText>
    </w:r>
    <w:r>
      <w:fldChar w:fldCharType="separate"/>
    </w:r>
    <w:r>
      <w:rPr>
        <w:lang w:val="zh-CN"/>
      </w:rPr>
      <w:t>1</w:t>
    </w:r>
    <w:r>
      <w:fldChar w:fldCharType="end"/>
    </w:r>
    <w:r>
      <w:rPr>
        <w:rFonts w:hint="eastAsia"/>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left"/>
    </w:pPr>
    <w:r>
      <w:rPr>
        <w:rFonts w:hint="eastAsia"/>
      </w:rPr>
      <w:t>—</w:t>
    </w:r>
    <w:r>
      <w:fldChar w:fldCharType="begin"/>
    </w:r>
    <w:r>
      <w:instrText xml:space="preserve">PAGE   \* MERGEFORMAT</w:instrText>
    </w:r>
    <w:r>
      <w:fldChar w:fldCharType="separate"/>
    </w:r>
    <w:r>
      <w:rPr>
        <w:lang w:val="zh-CN"/>
      </w:rPr>
      <w:t>6</w:t>
    </w:r>
    <w:r>
      <w:fldChar w:fldCharType="end"/>
    </w:r>
    <w:r>
      <w:rPr>
        <w:rFonts w:hint="eastAsia"/>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5226B4"/>
    <w:multiLevelType w:val="multilevel"/>
    <w:tmpl w:val="2B5226B4"/>
    <w:lvl w:ilvl="0" w:tentative="0">
      <w:start w:val="1"/>
      <w:numFmt w:val="decimal"/>
      <w:pStyle w:val="56"/>
      <w:suff w:val="nothing"/>
      <w:lvlText w:val="(%1)"/>
      <w:lvlJc w:val="left"/>
      <w:pPr>
        <w:ind w:left="0" w:firstLine="635"/>
      </w:pPr>
      <w:rPr>
        <w:rFonts w:hint="eastAsia"/>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1">
    <w:nsid w:val="34F85EAF"/>
    <w:multiLevelType w:val="multilevel"/>
    <w:tmpl w:val="34F85EAF"/>
    <w:lvl w:ilvl="0" w:tentative="0">
      <w:start w:val="1"/>
      <w:numFmt w:val="chineseCountingThousand"/>
      <w:pStyle w:val="32"/>
      <w:suff w:val="nothing"/>
      <w:lvlText w:val="%1、"/>
      <w:lvlJc w:val="left"/>
      <w:pPr>
        <w:ind w:left="1057" w:hanging="420"/>
      </w:pPr>
      <w:rPr>
        <w:rFonts w:hint="eastAsia"/>
      </w:rPr>
    </w:lvl>
    <w:lvl w:ilvl="1" w:tentative="0">
      <w:start w:val="1"/>
      <w:numFmt w:val="lowerLetter"/>
      <w:lvlText w:val="%2)"/>
      <w:lvlJc w:val="left"/>
      <w:pPr>
        <w:ind w:left="1477" w:hanging="420"/>
      </w:pPr>
    </w:lvl>
    <w:lvl w:ilvl="2" w:tentative="0">
      <w:start w:val="1"/>
      <w:numFmt w:val="lowerRoman"/>
      <w:lvlText w:val="%3."/>
      <w:lvlJc w:val="right"/>
      <w:pPr>
        <w:ind w:left="1897" w:hanging="420"/>
      </w:pPr>
    </w:lvl>
    <w:lvl w:ilvl="3" w:tentative="0">
      <w:start w:val="1"/>
      <w:numFmt w:val="decimal"/>
      <w:lvlText w:val="%4."/>
      <w:lvlJc w:val="left"/>
      <w:pPr>
        <w:ind w:left="2317" w:hanging="420"/>
      </w:pPr>
    </w:lvl>
    <w:lvl w:ilvl="4" w:tentative="0">
      <w:start w:val="1"/>
      <w:numFmt w:val="lowerLetter"/>
      <w:lvlText w:val="%5)"/>
      <w:lvlJc w:val="left"/>
      <w:pPr>
        <w:ind w:left="2737" w:hanging="420"/>
      </w:pPr>
    </w:lvl>
    <w:lvl w:ilvl="5" w:tentative="0">
      <w:start w:val="1"/>
      <w:numFmt w:val="lowerRoman"/>
      <w:lvlText w:val="%6."/>
      <w:lvlJc w:val="right"/>
      <w:pPr>
        <w:ind w:left="3157" w:hanging="420"/>
      </w:pPr>
    </w:lvl>
    <w:lvl w:ilvl="6" w:tentative="0">
      <w:start w:val="1"/>
      <w:numFmt w:val="decimal"/>
      <w:lvlText w:val="%7."/>
      <w:lvlJc w:val="left"/>
      <w:pPr>
        <w:ind w:left="3577" w:hanging="420"/>
      </w:pPr>
    </w:lvl>
    <w:lvl w:ilvl="7" w:tentative="0">
      <w:start w:val="1"/>
      <w:numFmt w:val="lowerLetter"/>
      <w:lvlText w:val="%8)"/>
      <w:lvlJc w:val="left"/>
      <w:pPr>
        <w:ind w:left="3997" w:hanging="420"/>
      </w:pPr>
    </w:lvl>
    <w:lvl w:ilvl="8" w:tentative="0">
      <w:start w:val="1"/>
      <w:numFmt w:val="lowerRoman"/>
      <w:lvlText w:val="%9."/>
      <w:lvlJc w:val="right"/>
      <w:pPr>
        <w:ind w:left="4417" w:hanging="420"/>
      </w:pPr>
    </w:lvl>
  </w:abstractNum>
  <w:abstractNum w:abstractNumId="2">
    <w:nsid w:val="36FACEBE"/>
    <w:multiLevelType w:val="singleLevel"/>
    <w:tmpl w:val="36FACEBE"/>
    <w:lvl w:ilvl="0" w:tentative="0">
      <w:start w:val="1"/>
      <w:numFmt w:val="decimal"/>
      <w:lvlText w:val="%1."/>
      <w:lvlJc w:val="left"/>
      <w:pPr>
        <w:tabs>
          <w:tab w:val="left" w:pos="312"/>
        </w:tabs>
      </w:pPr>
    </w:lvl>
  </w:abstractNum>
  <w:abstractNum w:abstractNumId="3">
    <w:nsid w:val="41825C36"/>
    <w:multiLevelType w:val="multilevel"/>
    <w:tmpl w:val="41825C36"/>
    <w:lvl w:ilvl="0" w:tentative="0">
      <w:start w:val="9"/>
      <w:numFmt w:val="japaneseCounting"/>
      <w:lvlText w:val="%1、"/>
      <w:lvlJc w:val="left"/>
      <w:pPr>
        <w:ind w:left="1357" w:hanging="720"/>
      </w:pPr>
      <w:rPr>
        <w:rFonts w:hint="default"/>
      </w:rPr>
    </w:lvl>
    <w:lvl w:ilvl="1" w:tentative="0">
      <w:start w:val="1"/>
      <w:numFmt w:val="lowerLetter"/>
      <w:lvlText w:val="%2)"/>
      <w:lvlJc w:val="left"/>
      <w:pPr>
        <w:ind w:left="1477" w:hanging="420"/>
      </w:pPr>
    </w:lvl>
    <w:lvl w:ilvl="2" w:tentative="0">
      <w:start w:val="1"/>
      <w:numFmt w:val="lowerRoman"/>
      <w:lvlText w:val="%3."/>
      <w:lvlJc w:val="right"/>
      <w:pPr>
        <w:ind w:left="1897" w:hanging="420"/>
      </w:pPr>
    </w:lvl>
    <w:lvl w:ilvl="3" w:tentative="0">
      <w:start w:val="1"/>
      <w:numFmt w:val="decimal"/>
      <w:lvlText w:val="%4."/>
      <w:lvlJc w:val="left"/>
      <w:pPr>
        <w:ind w:left="2317" w:hanging="420"/>
      </w:pPr>
    </w:lvl>
    <w:lvl w:ilvl="4" w:tentative="0">
      <w:start w:val="1"/>
      <w:numFmt w:val="lowerLetter"/>
      <w:lvlText w:val="%5)"/>
      <w:lvlJc w:val="left"/>
      <w:pPr>
        <w:ind w:left="2737" w:hanging="420"/>
      </w:pPr>
    </w:lvl>
    <w:lvl w:ilvl="5" w:tentative="0">
      <w:start w:val="1"/>
      <w:numFmt w:val="lowerRoman"/>
      <w:lvlText w:val="%6."/>
      <w:lvlJc w:val="right"/>
      <w:pPr>
        <w:ind w:left="3157" w:hanging="420"/>
      </w:pPr>
    </w:lvl>
    <w:lvl w:ilvl="6" w:tentative="0">
      <w:start w:val="1"/>
      <w:numFmt w:val="decimal"/>
      <w:lvlText w:val="%7."/>
      <w:lvlJc w:val="left"/>
      <w:pPr>
        <w:ind w:left="3577" w:hanging="420"/>
      </w:pPr>
    </w:lvl>
    <w:lvl w:ilvl="7" w:tentative="0">
      <w:start w:val="1"/>
      <w:numFmt w:val="lowerLetter"/>
      <w:lvlText w:val="%8)"/>
      <w:lvlJc w:val="left"/>
      <w:pPr>
        <w:ind w:left="3997" w:hanging="420"/>
      </w:pPr>
    </w:lvl>
    <w:lvl w:ilvl="8" w:tentative="0">
      <w:start w:val="1"/>
      <w:numFmt w:val="lowerRoman"/>
      <w:lvlText w:val="%9."/>
      <w:lvlJc w:val="right"/>
      <w:pPr>
        <w:ind w:left="4417" w:hanging="420"/>
      </w:pPr>
    </w:lvl>
  </w:abstractNum>
  <w:abstractNum w:abstractNumId="4">
    <w:nsid w:val="5B63281F"/>
    <w:multiLevelType w:val="multilevel"/>
    <w:tmpl w:val="5B63281F"/>
    <w:lvl w:ilvl="0" w:tentative="0">
      <w:start w:val="1"/>
      <w:numFmt w:val="decimal"/>
      <w:pStyle w:val="35"/>
      <w:suff w:val="nothing"/>
      <w:lvlText w:val="%1."/>
      <w:lvlJc w:val="left"/>
      <w:pPr>
        <w:ind w:left="-5" w:firstLine="635"/>
      </w:pPr>
      <w:rPr>
        <w:rFonts w:hint="eastAsia"/>
      </w:rPr>
    </w:lvl>
    <w:lvl w:ilvl="1" w:tentative="0">
      <w:start w:val="1"/>
      <w:numFmt w:val="lowerLetter"/>
      <w:lvlText w:val="%2)"/>
      <w:lvlJc w:val="left"/>
      <w:pPr>
        <w:ind w:left="1475" w:hanging="420"/>
      </w:pPr>
    </w:lvl>
    <w:lvl w:ilvl="2" w:tentative="0">
      <w:start w:val="1"/>
      <w:numFmt w:val="lowerRoman"/>
      <w:lvlText w:val="%3."/>
      <w:lvlJc w:val="right"/>
      <w:pPr>
        <w:ind w:left="1895" w:hanging="420"/>
      </w:pPr>
    </w:lvl>
    <w:lvl w:ilvl="3" w:tentative="0">
      <w:start w:val="1"/>
      <w:numFmt w:val="decimal"/>
      <w:lvlText w:val="%4."/>
      <w:lvlJc w:val="left"/>
      <w:pPr>
        <w:ind w:left="2315" w:hanging="420"/>
      </w:pPr>
    </w:lvl>
    <w:lvl w:ilvl="4" w:tentative="0">
      <w:start w:val="1"/>
      <w:numFmt w:val="lowerLetter"/>
      <w:lvlText w:val="%5)"/>
      <w:lvlJc w:val="left"/>
      <w:pPr>
        <w:ind w:left="2735" w:hanging="420"/>
      </w:pPr>
    </w:lvl>
    <w:lvl w:ilvl="5" w:tentative="0">
      <w:start w:val="1"/>
      <w:numFmt w:val="lowerRoman"/>
      <w:lvlText w:val="%6."/>
      <w:lvlJc w:val="right"/>
      <w:pPr>
        <w:ind w:left="3155" w:hanging="420"/>
      </w:pPr>
    </w:lvl>
    <w:lvl w:ilvl="6" w:tentative="0">
      <w:start w:val="1"/>
      <w:numFmt w:val="decimal"/>
      <w:lvlText w:val="%7."/>
      <w:lvlJc w:val="left"/>
      <w:pPr>
        <w:ind w:left="3575" w:hanging="420"/>
      </w:pPr>
    </w:lvl>
    <w:lvl w:ilvl="7" w:tentative="0">
      <w:start w:val="1"/>
      <w:numFmt w:val="lowerLetter"/>
      <w:lvlText w:val="%8)"/>
      <w:lvlJc w:val="left"/>
      <w:pPr>
        <w:ind w:left="3995" w:hanging="420"/>
      </w:pPr>
    </w:lvl>
    <w:lvl w:ilvl="8" w:tentative="0">
      <w:start w:val="1"/>
      <w:numFmt w:val="lowerRoman"/>
      <w:lvlText w:val="%9."/>
      <w:lvlJc w:val="right"/>
      <w:pPr>
        <w:ind w:left="4415" w:hanging="420"/>
      </w:pPr>
    </w:lvl>
  </w:abstractNum>
  <w:abstractNum w:abstractNumId="5">
    <w:nsid w:val="7EE55BF3"/>
    <w:multiLevelType w:val="multilevel"/>
    <w:tmpl w:val="7EE55BF3"/>
    <w:lvl w:ilvl="0" w:tentative="0">
      <w:start w:val="1"/>
      <w:numFmt w:val="chineseCountingThousand"/>
      <w:pStyle w:val="34"/>
      <w:suff w:val="nothing"/>
      <w:lvlText w:val="（%1）"/>
      <w:lvlJc w:val="left"/>
      <w:pPr>
        <w:ind w:left="0" w:firstLine="635"/>
      </w:pPr>
      <w:rPr>
        <w:rFonts w:hint="eastAsia"/>
        <w:lang w:val="en-US"/>
      </w:rPr>
    </w:lvl>
    <w:lvl w:ilvl="1" w:tentative="0">
      <w:start w:val="1"/>
      <w:numFmt w:val="decimal"/>
      <w:lvlText w:val="%2."/>
      <w:lvlJc w:val="left"/>
      <w:pPr>
        <w:ind w:left="980" w:hanging="360"/>
      </w:pPr>
      <w:rPr>
        <w:rFonts w:hint="default"/>
      </w:r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1"/>
  </w:num>
  <w:num w:numId="2">
    <w:abstractNumId w:val="5"/>
  </w:num>
  <w:num w:numId="3">
    <w:abstractNumId w:val="4"/>
  </w:num>
  <w:num w:numId="4">
    <w:abstractNumId w:val="0"/>
  </w:num>
  <w:num w:numId="5">
    <w:abstractNumId w:val="1"/>
    <w:lvlOverride w:ilvl="0">
      <w:startOverride w:val="1"/>
    </w:lvlOverride>
  </w:num>
  <w:num w:numId="6">
    <w:abstractNumId w:val="2"/>
  </w:num>
  <w:num w:numId="7">
    <w:abstractNumId w:val="3"/>
  </w:num>
  <w:num w:numId="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844"/>
    <w:rsid w:val="000043CA"/>
    <w:rsid w:val="00005724"/>
    <w:rsid w:val="00015A97"/>
    <w:rsid w:val="000246D8"/>
    <w:rsid w:val="00024C18"/>
    <w:rsid w:val="00030FD9"/>
    <w:rsid w:val="00032E08"/>
    <w:rsid w:val="0004402F"/>
    <w:rsid w:val="000442AD"/>
    <w:rsid w:val="000455C4"/>
    <w:rsid w:val="00046E1B"/>
    <w:rsid w:val="00047CD0"/>
    <w:rsid w:val="00056314"/>
    <w:rsid w:val="000628CE"/>
    <w:rsid w:val="0007360D"/>
    <w:rsid w:val="0007603A"/>
    <w:rsid w:val="00080625"/>
    <w:rsid w:val="00083211"/>
    <w:rsid w:val="00086324"/>
    <w:rsid w:val="000868A9"/>
    <w:rsid w:val="0009028B"/>
    <w:rsid w:val="00094C71"/>
    <w:rsid w:val="00096C14"/>
    <w:rsid w:val="000A1E3E"/>
    <w:rsid w:val="000A47A0"/>
    <w:rsid w:val="000B176D"/>
    <w:rsid w:val="000C6B51"/>
    <w:rsid w:val="000C7E3D"/>
    <w:rsid w:val="000D3373"/>
    <w:rsid w:val="000D6271"/>
    <w:rsid w:val="000D7D67"/>
    <w:rsid w:val="000E354F"/>
    <w:rsid w:val="000F087D"/>
    <w:rsid w:val="000F2057"/>
    <w:rsid w:val="000F41A8"/>
    <w:rsid w:val="000F594B"/>
    <w:rsid w:val="001003D6"/>
    <w:rsid w:val="00100DD8"/>
    <w:rsid w:val="00127D9F"/>
    <w:rsid w:val="0013530A"/>
    <w:rsid w:val="001468C6"/>
    <w:rsid w:val="001500CF"/>
    <w:rsid w:val="00152546"/>
    <w:rsid w:val="00154ED7"/>
    <w:rsid w:val="0015548B"/>
    <w:rsid w:val="0016289E"/>
    <w:rsid w:val="00164F3C"/>
    <w:rsid w:val="00166168"/>
    <w:rsid w:val="00172E8D"/>
    <w:rsid w:val="00173835"/>
    <w:rsid w:val="00177FE8"/>
    <w:rsid w:val="00182824"/>
    <w:rsid w:val="00185DDD"/>
    <w:rsid w:val="00194BC1"/>
    <w:rsid w:val="001A0AB3"/>
    <w:rsid w:val="001A3FD5"/>
    <w:rsid w:val="001A6F4B"/>
    <w:rsid w:val="001B3092"/>
    <w:rsid w:val="001B4F19"/>
    <w:rsid w:val="001B66CB"/>
    <w:rsid w:val="001B79A2"/>
    <w:rsid w:val="001C0662"/>
    <w:rsid w:val="001C26AA"/>
    <w:rsid w:val="001C30C7"/>
    <w:rsid w:val="001C32DA"/>
    <w:rsid w:val="001C43DC"/>
    <w:rsid w:val="001C54BA"/>
    <w:rsid w:val="001D3BC4"/>
    <w:rsid w:val="001D4FFF"/>
    <w:rsid w:val="001D514D"/>
    <w:rsid w:val="001E0422"/>
    <w:rsid w:val="001E0ED0"/>
    <w:rsid w:val="001F655E"/>
    <w:rsid w:val="001F72C1"/>
    <w:rsid w:val="002010F4"/>
    <w:rsid w:val="002045EE"/>
    <w:rsid w:val="00206CA0"/>
    <w:rsid w:val="00211B24"/>
    <w:rsid w:val="00213514"/>
    <w:rsid w:val="00216241"/>
    <w:rsid w:val="00220F01"/>
    <w:rsid w:val="002226C1"/>
    <w:rsid w:val="00223451"/>
    <w:rsid w:val="002361B5"/>
    <w:rsid w:val="0023743C"/>
    <w:rsid w:val="00240BA2"/>
    <w:rsid w:val="00241E45"/>
    <w:rsid w:val="00244E39"/>
    <w:rsid w:val="002453C2"/>
    <w:rsid w:val="00253643"/>
    <w:rsid w:val="00254CE5"/>
    <w:rsid w:val="0026597B"/>
    <w:rsid w:val="002660D9"/>
    <w:rsid w:val="00270DD8"/>
    <w:rsid w:val="00275AC3"/>
    <w:rsid w:val="00276844"/>
    <w:rsid w:val="002812A0"/>
    <w:rsid w:val="0028430A"/>
    <w:rsid w:val="00287C8F"/>
    <w:rsid w:val="00291468"/>
    <w:rsid w:val="00293362"/>
    <w:rsid w:val="00297115"/>
    <w:rsid w:val="002A7B6B"/>
    <w:rsid w:val="002B788B"/>
    <w:rsid w:val="002C1E51"/>
    <w:rsid w:val="002C30A5"/>
    <w:rsid w:val="002D70C1"/>
    <w:rsid w:val="002D7861"/>
    <w:rsid w:val="002D7B22"/>
    <w:rsid w:val="002E3BE9"/>
    <w:rsid w:val="002E45AE"/>
    <w:rsid w:val="002E6388"/>
    <w:rsid w:val="002E7C74"/>
    <w:rsid w:val="002F682A"/>
    <w:rsid w:val="0030300D"/>
    <w:rsid w:val="0030691C"/>
    <w:rsid w:val="00311341"/>
    <w:rsid w:val="003146C3"/>
    <w:rsid w:val="00326A5F"/>
    <w:rsid w:val="003336CE"/>
    <w:rsid w:val="003340E2"/>
    <w:rsid w:val="0033474D"/>
    <w:rsid w:val="00335B14"/>
    <w:rsid w:val="00337B5B"/>
    <w:rsid w:val="003451DE"/>
    <w:rsid w:val="00351E36"/>
    <w:rsid w:val="00353E79"/>
    <w:rsid w:val="00373E86"/>
    <w:rsid w:val="00375B59"/>
    <w:rsid w:val="00382D77"/>
    <w:rsid w:val="0038349E"/>
    <w:rsid w:val="003A240E"/>
    <w:rsid w:val="003A5DCD"/>
    <w:rsid w:val="003A6E96"/>
    <w:rsid w:val="003B3FF6"/>
    <w:rsid w:val="003D3F00"/>
    <w:rsid w:val="003D771F"/>
    <w:rsid w:val="003E2F91"/>
    <w:rsid w:val="003E3B59"/>
    <w:rsid w:val="003E539E"/>
    <w:rsid w:val="003E67A0"/>
    <w:rsid w:val="003F6CE7"/>
    <w:rsid w:val="00400F22"/>
    <w:rsid w:val="0040430E"/>
    <w:rsid w:val="004049A0"/>
    <w:rsid w:val="0041004B"/>
    <w:rsid w:val="00425DE5"/>
    <w:rsid w:val="00430914"/>
    <w:rsid w:val="0043235D"/>
    <w:rsid w:val="00434F5A"/>
    <w:rsid w:val="00437FBF"/>
    <w:rsid w:val="0044017E"/>
    <w:rsid w:val="0044273D"/>
    <w:rsid w:val="00442DAD"/>
    <w:rsid w:val="00453AE7"/>
    <w:rsid w:val="00457A72"/>
    <w:rsid w:val="00464346"/>
    <w:rsid w:val="00467F80"/>
    <w:rsid w:val="00471C7B"/>
    <w:rsid w:val="00473A63"/>
    <w:rsid w:val="0048317D"/>
    <w:rsid w:val="00484328"/>
    <w:rsid w:val="0048614D"/>
    <w:rsid w:val="00487863"/>
    <w:rsid w:val="004936DC"/>
    <w:rsid w:val="00494ADC"/>
    <w:rsid w:val="00497355"/>
    <w:rsid w:val="004A41B4"/>
    <w:rsid w:val="004A6F0C"/>
    <w:rsid w:val="004A72BD"/>
    <w:rsid w:val="004B1090"/>
    <w:rsid w:val="004B2344"/>
    <w:rsid w:val="004B31F7"/>
    <w:rsid w:val="004B5438"/>
    <w:rsid w:val="004B73F1"/>
    <w:rsid w:val="004C46E2"/>
    <w:rsid w:val="004D1AD6"/>
    <w:rsid w:val="004E10E8"/>
    <w:rsid w:val="004E7F36"/>
    <w:rsid w:val="004F6BA3"/>
    <w:rsid w:val="005005B3"/>
    <w:rsid w:val="00503C72"/>
    <w:rsid w:val="00512E1A"/>
    <w:rsid w:val="00516D77"/>
    <w:rsid w:val="00520EB9"/>
    <w:rsid w:val="005219DB"/>
    <w:rsid w:val="00525956"/>
    <w:rsid w:val="00525DE2"/>
    <w:rsid w:val="00527FAA"/>
    <w:rsid w:val="00530EEC"/>
    <w:rsid w:val="00536B42"/>
    <w:rsid w:val="005423CC"/>
    <w:rsid w:val="00544B88"/>
    <w:rsid w:val="0055700C"/>
    <w:rsid w:val="0056054F"/>
    <w:rsid w:val="00561AA4"/>
    <w:rsid w:val="00566531"/>
    <w:rsid w:val="0058060F"/>
    <w:rsid w:val="005829A7"/>
    <w:rsid w:val="00584712"/>
    <w:rsid w:val="005852B9"/>
    <w:rsid w:val="0058616D"/>
    <w:rsid w:val="005902E0"/>
    <w:rsid w:val="00592A43"/>
    <w:rsid w:val="00595287"/>
    <w:rsid w:val="005A29A1"/>
    <w:rsid w:val="005A71D7"/>
    <w:rsid w:val="005C757F"/>
    <w:rsid w:val="005D07C0"/>
    <w:rsid w:val="005E5B89"/>
    <w:rsid w:val="005E71AA"/>
    <w:rsid w:val="0060182F"/>
    <w:rsid w:val="00611B54"/>
    <w:rsid w:val="00612A35"/>
    <w:rsid w:val="00615F35"/>
    <w:rsid w:val="00620BC9"/>
    <w:rsid w:val="0062279F"/>
    <w:rsid w:val="00622E21"/>
    <w:rsid w:val="006265A1"/>
    <w:rsid w:val="00632802"/>
    <w:rsid w:val="0063506E"/>
    <w:rsid w:val="0063538E"/>
    <w:rsid w:val="00636565"/>
    <w:rsid w:val="00637822"/>
    <w:rsid w:val="00637F2C"/>
    <w:rsid w:val="00641C82"/>
    <w:rsid w:val="0064274B"/>
    <w:rsid w:val="006465B2"/>
    <w:rsid w:val="00651006"/>
    <w:rsid w:val="00651ED2"/>
    <w:rsid w:val="006550E3"/>
    <w:rsid w:val="00667F37"/>
    <w:rsid w:val="00677F2F"/>
    <w:rsid w:val="00696691"/>
    <w:rsid w:val="00697A76"/>
    <w:rsid w:val="006A3953"/>
    <w:rsid w:val="006B260A"/>
    <w:rsid w:val="006B325C"/>
    <w:rsid w:val="006C64B3"/>
    <w:rsid w:val="006D3419"/>
    <w:rsid w:val="006E59CD"/>
    <w:rsid w:val="006F4840"/>
    <w:rsid w:val="006F59D9"/>
    <w:rsid w:val="006F5E60"/>
    <w:rsid w:val="006F7FFC"/>
    <w:rsid w:val="00703F75"/>
    <w:rsid w:val="00707BF6"/>
    <w:rsid w:val="00712680"/>
    <w:rsid w:val="0071587C"/>
    <w:rsid w:val="00716233"/>
    <w:rsid w:val="00727A23"/>
    <w:rsid w:val="0073112F"/>
    <w:rsid w:val="007329D8"/>
    <w:rsid w:val="00735199"/>
    <w:rsid w:val="00751CEA"/>
    <w:rsid w:val="00752D48"/>
    <w:rsid w:val="00762326"/>
    <w:rsid w:val="00762807"/>
    <w:rsid w:val="00770F00"/>
    <w:rsid w:val="00771464"/>
    <w:rsid w:val="00776C5A"/>
    <w:rsid w:val="00777527"/>
    <w:rsid w:val="00781A5C"/>
    <w:rsid w:val="0078518C"/>
    <w:rsid w:val="0079110F"/>
    <w:rsid w:val="007975CB"/>
    <w:rsid w:val="007A2199"/>
    <w:rsid w:val="007A3EA0"/>
    <w:rsid w:val="007A74E6"/>
    <w:rsid w:val="007B2002"/>
    <w:rsid w:val="007B409D"/>
    <w:rsid w:val="007B5885"/>
    <w:rsid w:val="007C04BE"/>
    <w:rsid w:val="007D03B0"/>
    <w:rsid w:val="007D132B"/>
    <w:rsid w:val="007E0DD3"/>
    <w:rsid w:val="007E6485"/>
    <w:rsid w:val="007E7A18"/>
    <w:rsid w:val="007F0FE1"/>
    <w:rsid w:val="007F455A"/>
    <w:rsid w:val="007F61B6"/>
    <w:rsid w:val="007F6313"/>
    <w:rsid w:val="007F6FA3"/>
    <w:rsid w:val="008018C4"/>
    <w:rsid w:val="00804853"/>
    <w:rsid w:val="0081306C"/>
    <w:rsid w:val="008229EE"/>
    <w:rsid w:val="008230CE"/>
    <w:rsid w:val="0084524D"/>
    <w:rsid w:val="0085401C"/>
    <w:rsid w:val="008546AE"/>
    <w:rsid w:val="008566D6"/>
    <w:rsid w:val="0086057D"/>
    <w:rsid w:val="00863E93"/>
    <w:rsid w:val="00865DC0"/>
    <w:rsid w:val="00870F4D"/>
    <w:rsid w:val="00872A8E"/>
    <w:rsid w:val="00872E2D"/>
    <w:rsid w:val="00876449"/>
    <w:rsid w:val="00877334"/>
    <w:rsid w:val="00881857"/>
    <w:rsid w:val="008827BF"/>
    <w:rsid w:val="00885273"/>
    <w:rsid w:val="008A1827"/>
    <w:rsid w:val="008A2FB8"/>
    <w:rsid w:val="008B115F"/>
    <w:rsid w:val="008B1A74"/>
    <w:rsid w:val="008B1B74"/>
    <w:rsid w:val="008B6ABD"/>
    <w:rsid w:val="008C2E4B"/>
    <w:rsid w:val="008D05BB"/>
    <w:rsid w:val="008E1FDF"/>
    <w:rsid w:val="008E2FED"/>
    <w:rsid w:val="009007DC"/>
    <w:rsid w:val="00902DB5"/>
    <w:rsid w:val="00906270"/>
    <w:rsid w:val="0091571C"/>
    <w:rsid w:val="00917735"/>
    <w:rsid w:val="00920104"/>
    <w:rsid w:val="00923D93"/>
    <w:rsid w:val="00925E81"/>
    <w:rsid w:val="009266F7"/>
    <w:rsid w:val="00932312"/>
    <w:rsid w:val="00933596"/>
    <w:rsid w:val="00934F05"/>
    <w:rsid w:val="00934F8B"/>
    <w:rsid w:val="009377C0"/>
    <w:rsid w:val="009422AF"/>
    <w:rsid w:val="0094619E"/>
    <w:rsid w:val="0095205E"/>
    <w:rsid w:val="00957507"/>
    <w:rsid w:val="00967BBC"/>
    <w:rsid w:val="0097116B"/>
    <w:rsid w:val="0097391B"/>
    <w:rsid w:val="00974375"/>
    <w:rsid w:val="00974E9C"/>
    <w:rsid w:val="00982472"/>
    <w:rsid w:val="00982EA8"/>
    <w:rsid w:val="00995318"/>
    <w:rsid w:val="009A30C5"/>
    <w:rsid w:val="009B120D"/>
    <w:rsid w:val="009C07E9"/>
    <w:rsid w:val="009C4618"/>
    <w:rsid w:val="009D2FD7"/>
    <w:rsid w:val="009D56E7"/>
    <w:rsid w:val="009E1C2A"/>
    <w:rsid w:val="009E2E2D"/>
    <w:rsid w:val="009E4505"/>
    <w:rsid w:val="00A0137B"/>
    <w:rsid w:val="00A04383"/>
    <w:rsid w:val="00A11048"/>
    <w:rsid w:val="00A11BBD"/>
    <w:rsid w:val="00A124EC"/>
    <w:rsid w:val="00A227D8"/>
    <w:rsid w:val="00A251BC"/>
    <w:rsid w:val="00A317CE"/>
    <w:rsid w:val="00A32918"/>
    <w:rsid w:val="00A331F9"/>
    <w:rsid w:val="00A41E8A"/>
    <w:rsid w:val="00A4494F"/>
    <w:rsid w:val="00A73AC7"/>
    <w:rsid w:val="00A82C3E"/>
    <w:rsid w:val="00A8519D"/>
    <w:rsid w:val="00A90B73"/>
    <w:rsid w:val="00A973E5"/>
    <w:rsid w:val="00AA1DFE"/>
    <w:rsid w:val="00AA7610"/>
    <w:rsid w:val="00AB22F7"/>
    <w:rsid w:val="00AB35EE"/>
    <w:rsid w:val="00AB7324"/>
    <w:rsid w:val="00AC2310"/>
    <w:rsid w:val="00AC72E6"/>
    <w:rsid w:val="00AD1E77"/>
    <w:rsid w:val="00AD2C0D"/>
    <w:rsid w:val="00AD4771"/>
    <w:rsid w:val="00AD50A8"/>
    <w:rsid w:val="00AD6823"/>
    <w:rsid w:val="00AF1A5C"/>
    <w:rsid w:val="00B00F7E"/>
    <w:rsid w:val="00B01141"/>
    <w:rsid w:val="00B01604"/>
    <w:rsid w:val="00B0641D"/>
    <w:rsid w:val="00B163E4"/>
    <w:rsid w:val="00B21111"/>
    <w:rsid w:val="00B278AA"/>
    <w:rsid w:val="00B3180C"/>
    <w:rsid w:val="00B323B9"/>
    <w:rsid w:val="00B3272F"/>
    <w:rsid w:val="00B35590"/>
    <w:rsid w:val="00B41E5B"/>
    <w:rsid w:val="00B52EA2"/>
    <w:rsid w:val="00B65F9C"/>
    <w:rsid w:val="00B65FD0"/>
    <w:rsid w:val="00B76E0D"/>
    <w:rsid w:val="00B8343B"/>
    <w:rsid w:val="00B84457"/>
    <w:rsid w:val="00B84869"/>
    <w:rsid w:val="00B916C6"/>
    <w:rsid w:val="00B93736"/>
    <w:rsid w:val="00BA0C87"/>
    <w:rsid w:val="00BA1665"/>
    <w:rsid w:val="00BA7A5E"/>
    <w:rsid w:val="00BB3F95"/>
    <w:rsid w:val="00BB6842"/>
    <w:rsid w:val="00BC00CA"/>
    <w:rsid w:val="00BD4040"/>
    <w:rsid w:val="00BD43EB"/>
    <w:rsid w:val="00BE1031"/>
    <w:rsid w:val="00BE3C4A"/>
    <w:rsid w:val="00BE7AE1"/>
    <w:rsid w:val="00BF0EFE"/>
    <w:rsid w:val="00BF7F1C"/>
    <w:rsid w:val="00C0089D"/>
    <w:rsid w:val="00C02AFE"/>
    <w:rsid w:val="00C1015A"/>
    <w:rsid w:val="00C13EAA"/>
    <w:rsid w:val="00C16B55"/>
    <w:rsid w:val="00C21FA6"/>
    <w:rsid w:val="00C27754"/>
    <w:rsid w:val="00C348E9"/>
    <w:rsid w:val="00C433AD"/>
    <w:rsid w:val="00C60326"/>
    <w:rsid w:val="00C63F5C"/>
    <w:rsid w:val="00C654AF"/>
    <w:rsid w:val="00C66576"/>
    <w:rsid w:val="00C74034"/>
    <w:rsid w:val="00C7589A"/>
    <w:rsid w:val="00C84B75"/>
    <w:rsid w:val="00C85328"/>
    <w:rsid w:val="00C9063E"/>
    <w:rsid w:val="00CA1214"/>
    <w:rsid w:val="00CA360D"/>
    <w:rsid w:val="00CB2AE9"/>
    <w:rsid w:val="00CB588E"/>
    <w:rsid w:val="00CB6CF3"/>
    <w:rsid w:val="00CC15F3"/>
    <w:rsid w:val="00CC1645"/>
    <w:rsid w:val="00CD101A"/>
    <w:rsid w:val="00CD1115"/>
    <w:rsid w:val="00CD65D9"/>
    <w:rsid w:val="00CE0FED"/>
    <w:rsid w:val="00CE7AE0"/>
    <w:rsid w:val="00CE7F2D"/>
    <w:rsid w:val="00CF17BF"/>
    <w:rsid w:val="00CF2202"/>
    <w:rsid w:val="00D06AA3"/>
    <w:rsid w:val="00D1348F"/>
    <w:rsid w:val="00D140E5"/>
    <w:rsid w:val="00D22E22"/>
    <w:rsid w:val="00D2550E"/>
    <w:rsid w:val="00D30E46"/>
    <w:rsid w:val="00D33621"/>
    <w:rsid w:val="00D36FF0"/>
    <w:rsid w:val="00D409BB"/>
    <w:rsid w:val="00D51630"/>
    <w:rsid w:val="00D54B68"/>
    <w:rsid w:val="00D616A4"/>
    <w:rsid w:val="00D63525"/>
    <w:rsid w:val="00D64CC0"/>
    <w:rsid w:val="00D70D82"/>
    <w:rsid w:val="00D717DE"/>
    <w:rsid w:val="00D755AC"/>
    <w:rsid w:val="00D804AA"/>
    <w:rsid w:val="00D80D1C"/>
    <w:rsid w:val="00D80E02"/>
    <w:rsid w:val="00D8208F"/>
    <w:rsid w:val="00D83AED"/>
    <w:rsid w:val="00D86690"/>
    <w:rsid w:val="00DB2359"/>
    <w:rsid w:val="00DC084E"/>
    <w:rsid w:val="00DC1E2B"/>
    <w:rsid w:val="00DC6375"/>
    <w:rsid w:val="00DD0220"/>
    <w:rsid w:val="00DE005B"/>
    <w:rsid w:val="00DE07AD"/>
    <w:rsid w:val="00DE6003"/>
    <w:rsid w:val="00DF3980"/>
    <w:rsid w:val="00E01AB9"/>
    <w:rsid w:val="00E163CD"/>
    <w:rsid w:val="00E17A8F"/>
    <w:rsid w:val="00E21189"/>
    <w:rsid w:val="00E22C44"/>
    <w:rsid w:val="00E25699"/>
    <w:rsid w:val="00E25E10"/>
    <w:rsid w:val="00E26F88"/>
    <w:rsid w:val="00E2729E"/>
    <w:rsid w:val="00E3450B"/>
    <w:rsid w:val="00E36EFB"/>
    <w:rsid w:val="00E429AB"/>
    <w:rsid w:val="00E5152A"/>
    <w:rsid w:val="00E526C8"/>
    <w:rsid w:val="00E55250"/>
    <w:rsid w:val="00E6314C"/>
    <w:rsid w:val="00E7105C"/>
    <w:rsid w:val="00E7187C"/>
    <w:rsid w:val="00E76240"/>
    <w:rsid w:val="00E81B87"/>
    <w:rsid w:val="00E81F2E"/>
    <w:rsid w:val="00E85698"/>
    <w:rsid w:val="00E903E8"/>
    <w:rsid w:val="00E90D91"/>
    <w:rsid w:val="00E9223B"/>
    <w:rsid w:val="00E922A9"/>
    <w:rsid w:val="00EB0083"/>
    <w:rsid w:val="00EC2253"/>
    <w:rsid w:val="00EC605F"/>
    <w:rsid w:val="00ED2517"/>
    <w:rsid w:val="00ED5AE9"/>
    <w:rsid w:val="00EE2FE7"/>
    <w:rsid w:val="00EE48C3"/>
    <w:rsid w:val="00EE57C8"/>
    <w:rsid w:val="00EF022F"/>
    <w:rsid w:val="00EF44B2"/>
    <w:rsid w:val="00F00F25"/>
    <w:rsid w:val="00F017D3"/>
    <w:rsid w:val="00F052AD"/>
    <w:rsid w:val="00F061C0"/>
    <w:rsid w:val="00F06FE6"/>
    <w:rsid w:val="00F072C1"/>
    <w:rsid w:val="00F1144B"/>
    <w:rsid w:val="00F147A8"/>
    <w:rsid w:val="00F20407"/>
    <w:rsid w:val="00F2468A"/>
    <w:rsid w:val="00F25630"/>
    <w:rsid w:val="00F304BD"/>
    <w:rsid w:val="00F34C67"/>
    <w:rsid w:val="00F45D3D"/>
    <w:rsid w:val="00F45DB7"/>
    <w:rsid w:val="00F503CA"/>
    <w:rsid w:val="00F5535E"/>
    <w:rsid w:val="00F56C84"/>
    <w:rsid w:val="00F56DFD"/>
    <w:rsid w:val="00F602E4"/>
    <w:rsid w:val="00F638AD"/>
    <w:rsid w:val="00F726FB"/>
    <w:rsid w:val="00F74826"/>
    <w:rsid w:val="00F8282F"/>
    <w:rsid w:val="00F9507F"/>
    <w:rsid w:val="00FA06F9"/>
    <w:rsid w:val="00FC1CCA"/>
    <w:rsid w:val="00FC58FB"/>
    <w:rsid w:val="00FD2C31"/>
    <w:rsid w:val="00FE2E2D"/>
    <w:rsid w:val="00FF696F"/>
    <w:rsid w:val="00FF7772"/>
    <w:rsid w:val="00FF7A11"/>
    <w:rsid w:val="25BE1630"/>
    <w:rsid w:val="5A15372D"/>
    <w:rsid w:val="5F19283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1"/>
    <w:qFormat/>
    <w:uiPriority w:val="9"/>
    <w:pPr>
      <w:keepNext/>
      <w:keepLines/>
      <w:spacing w:before="340" w:after="330" w:line="578" w:lineRule="auto"/>
      <w:outlineLvl w:val="0"/>
    </w:pPr>
    <w:rPr>
      <w:rFonts w:ascii="Calibri" w:hAnsi="Calibri"/>
      <w:b/>
      <w:bCs/>
      <w:kern w:val="44"/>
      <w:sz w:val="44"/>
      <w:szCs w:val="44"/>
    </w:rPr>
  </w:style>
  <w:style w:type="paragraph" w:styleId="4">
    <w:name w:val="heading 2"/>
    <w:basedOn w:val="1"/>
    <w:next w:val="1"/>
    <w:link w:val="62"/>
    <w:unhideWhenUsed/>
    <w:qFormat/>
    <w:uiPriority w:val="9"/>
    <w:pPr>
      <w:keepNext/>
      <w:keepLines/>
      <w:spacing w:before="260" w:after="260" w:line="416" w:lineRule="auto"/>
      <w:outlineLvl w:val="1"/>
    </w:pPr>
    <w:rPr>
      <w:rFonts w:ascii="Calibri Light" w:hAnsi="Calibri Light"/>
      <w:b/>
      <w:bCs/>
      <w:kern w:val="0"/>
      <w:sz w:val="32"/>
      <w:szCs w:val="32"/>
    </w:rPr>
  </w:style>
  <w:style w:type="character" w:default="1" w:styleId="10">
    <w:name w:val="Default Paragraph Font"/>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footer"/>
    <w:basedOn w:val="1"/>
    <w:next w:val="1"/>
    <w:link w:val="37"/>
    <w:uiPriority w:val="0"/>
    <w:pPr>
      <w:tabs>
        <w:tab w:val="center" w:pos="4153"/>
        <w:tab w:val="right" w:pos="8306"/>
      </w:tabs>
      <w:snapToGrid w:val="0"/>
      <w:jc w:val="left"/>
    </w:pPr>
    <w:rPr>
      <w:sz w:val="18"/>
      <w:szCs w:val="18"/>
    </w:rPr>
  </w:style>
  <w:style w:type="paragraph" w:styleId="5">
    <w:name w:val="Body Text"/>
    <w:basedOn w:val="1"/>
    <w:qFormat/>
    <w:uiPriority w:val="99"/>
    <w:pPr>
      <w:spacing w:beforeLines="30"/>
    </w:pPr>
    <w:rPr>
      <w:rFonts w:ascii="仿宋_GB2312" w:eastAsia="仿宋_GB2312"/>
      <w:kern w:val="0"/>
      <w:sz w:val="30"/>
    </w:rPr>
  </w:style>
  <w:style w:type="paragraph" w:styleId="6">
    <w:name w:val="Balloon Text"/>
    <w:basedOn w:val="1"/>
    <w:link w:val="42"/>
    <w:uiPriority w:val="0"/>
    <w:rPr>
      <w:sz w:val="18"/>
      <w:szCs w:val="18"/>
    </w:rPr>
  </w:style>
  <w:style w:type="paragraph" w:styleId="7">
    <w:name w:val="header"/>
    <w:basedOn w:val="1"/>
    <w:link w:val="41"/>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Emphasis"/>
    <w:qFormat/>
    <w:uiPriority w:val="20"/>
  </w:style>
  <w:style w:type="character" w:styleId="12">
    <w:name w:val="Hyperlink"/>
    <w:qFormat/>
    <w:uiPriority w:val="99"/>
    <w:rPr>
      <w:u w:val="single"/>
    </w:rPr>
  </w:style>
  <w:style w:type="paragraph" w:customStyle="1" w:styleId="13">
    <w:name w:val="01 秘密等级、紧急程度"/>
    <w:basedOn w:val="1"/>
    <w:next w:val="1"/>
    <w:uiPriority w:val="0"/>
    <w:pPr>
      <w:spacing w:line="600" w:lineRule="exact"/>
      <w:jc w:val="left"/>
    </w:pPr>
    <w:rPr>
      <w:rFonts w:ascii="黑体" w:hAnsi="Calibri" w:eastAsia="黑体" w:cs="宋体"/>
      <w:sz w:val="32"/>
      <w:szCs w:val="20"/>
    </w:rPr>
  </w:style>
  <w:style w:type="paragraph" w:customStyle="1" w:styleId="14">
    <w:name w:val="02  发文机关标志"/>
    <w:basedOn w:val="1"/>
    <w:next w:val="1"/>
    <w:uiPriority w:val="0"/>
    <w:pPr>
      <w:spacing w:after="1200" w:afterLines="400" w:line="2000" w:lineRule="exact"/>
      <w:ind w:left="208" w:leftChars="100" w:right="208" w:rightChars="100"/>
      <w:jc w:val="distribute"/>
    </w:pPr>
    <w:rPr>
      <w:rFonts w:ascii="方正小标宋简体" w:hAnsi="方正小标宋简体" w:eastAsia="方正小标宋简体" w:cs="宋体"/>
      <w:color w:val="FF0000"/>
      <w:w w:val="70"/>
      <w:sz w:val="140"/>
      <w:szCs w:val="20"/>
    </w:rPr>
  </w:style>
  <w:style w:type="paragraph" w:customStyle="1" w:styleId="15">
    <w:name w:val="03 发文字号"/>
    <w:basedOn w:val="1"/>
    <w:next w:val="1"/>
    <w:uiPriority w:val="0"/>
    <w:pPr>
      <w:jc w:val="center"/>
    </w:pPr>
    <w:rPr>
      <w:rFonts w:ascii="仿宋_GB2312" w:hAnsi="Calibri" w:eastAsia="仿宋_GB2312" w:cs="宋体"/>
      <w:sz w:val="32"/>
      <w:szCs w:val="20"/>
    </w:rPr>
  </w:style>
  <w:style w:type="paragraph" w:customStyle="1" w:styleId="16">
    <w:name w:val="04 红色反线"/>
    <w:basedOn w:val="1"/>
    <w:next w:val="1"/>
    <w:uiPriority w:val="0"/>
    <w:pPr>
      <w:spacing w:after="450" w:afterLines="150" w:line="600" w:lineRule="exact"/>
      <w:jc w:val="center"/>
    </w:pPr>
    <w:rPr>
      <w:rFonts w:ascii="仿宋_GB2312" w:hAnsi="仿宋_GB2312" w:eastAsia="仿宋_GB2312" w:cs="宋体"/>
      <w:color w:val="FF0000"/>
      <w:sz w:val="88"/>
      <w:szCs w:val="20"/>
    </w:rPr>
  </w:style>
  <w:style w:type="paragraph" w:customStyle="1" w:styleId="17">
    <w:name w:val="05 公文标题"/>
    <w:basedOn w:val="1"/>
    <w:next w:val="1"/>
    <w:uiPriority w:val="0"/>
    <w:pPr>
      <w:spacing w:line="600" w:lineRule="exact"/>
      <w:jc w:val="center"/>
      <w:outlineLvl w:val="0"/>
    </w:pPr>
    <w:rPr>
      <w:rFonts w:ascii="方正小标宋简体" w:hAnsi="Arial" w:eastAsia="方正小标宋简体" w:cs="宋体"/>
      <w:bCs/>
      <w:sz w:val="44"/>
      <w:szCs w:val="44"/>
    </w:rPr>
  </w:style>
  <w:style w:type="paragraph" w:customStyle="1" w:styleId="18">
    <w:name w:val="06 主送机关"/>
    <w:basedOn w:val="1"/>
    <w:next w:val="1"/>
    <w:uiPriority w:val="0"/>
    <w:pPr>
      <w:spacing w:before="600" w:beforeLines="200" w:line="600" w:lineRule="exact"/>
      <w:jc w:val="left"/>
    </w:pPr>
    <w:rPr>
      <w:rFonts w:ascii="仿宋_GB2312" w:hAnsi="Calibri" w:eastAsia="仿宋_GB2312" w:cs="宋体"/>
      <w:sz w:val="32"/>
      <w:szCs w:val="20"/>
    </w:rPr>
  </w:style>
  <w:style w:type="paragraph" w:customStyle="1" w:styleId="19">
    <w:name w:val="07 正文第一层"/>
    <w:basedOn w:val="1"/>
    <w:next w:val="1"/>
    <w:uiPriority w:val="0"/>
    <w:pPr>
      <w:spacing w:line="600" w:lineRule="exact"/>
      <w:ind w:firstLine="637" w:firstLineChars="200"/>
      <w:outlineLvl w:val="0"/>
    </w:pPr>
    <w:rPr>
      <w:rFonts w:ascii="黑体" w:hAnsi="Calibri" w:eastAsia="黑体" w:cs="宋体"/>
      <w:sz w:val="32"/>
      <w:szCs w:val="20"/>
    </w:rPr>
  </w:style>
  <w:style w:type="paragraph" w:customStyle="1" w:styleId="20">
    <w:name w:val="08 正文第二层"/>
    <w:basedOn w:val="1"/>
    <w:next w:val="1"/>
    <w:uiPriority w:val="0"/>
    <w:pPr>
      <w:spacing w:line="600" w:lineRule="exact"/>
      <w:ind w:firstLine="637" w:firstLineChars="200"/>
      <w:outlineLvl w:val="1"/>
    </w:pPr>
    <w:rPr>
      <w:rFonts w:ascii="楷体_GB2312" w:hAnsi="Calibri" w:eastAsia="楷体_GB2312" w:cs="宋体"/>
      <w:sz w:val="32"/>
      <w:szCs w:val="20"/>
    </w:rPr>
  </w:style>
  <w:style w:type="paragraph" w:customStyle="1" w:styleId="21">
    <w:name w:val="09 正文第三、四层"/>
    <w:basedOn w:val="1"/>
    <w:next w:val="1"/>
    <w:uiPriority w:val="0"/>
    <w:pPr>
      <w:spacing w:line="600" w:lineRule="exact"/>
      <w:ind w:firstLine="637" w:firstLineChars="200"/>
    </w:pPr>
    <w:rPr>
      <w:rFonts w:ascii="仿宋_GB2312" w:hAnsi="Calibri" w:eastAsia="仿宋_GB2312" w:cs="宋体"/>
      <w:sz w:val="32"/>
      <w:szCs w:val="20"/>
    </w:rPr>
  </w:style>
  <w:style w:type="paragraph" w:customStyle="1" w:styleId="22">
    <w:name w:val="10 正文图片"/>
    <w:basedOn w:val="21"/>
    <w:next w:val="21"/>
    <w:uiPriority w:val="0"/>
    <w:pPr>
      <w:spacing w:line="240" w:lineRule="auto"/>
      <w:ind w:firstLine="0" w:firstLineChars="0"/>
      <w:jc w:val="center"/>
    </w:pPr>
  </w:style>
  <w:style w:type="paragraph" w:customStyle="1" w:styleId="23">
    <w:name w:val="11 附件说明1"/>
    <w:basedOn w:val="21"/>
    <w:next w:val="1"/>
    <w:uiPriority w:val="0"/>
    <w:pPr>
      <w:spacing w:before="450" w:beforeLines="150"/>
      <w:ind w:left="1924" w:leftChars="305" w:hanging="1289" w:hangingChars="405"/>
    </w:pPr>
  </w:style>
  <w:style w:type="paragraph" w:customStyle="1" w:styleId="24">
    <w:name w:val="12 附件说明2、3……"/>
    <w:basedOn w:val="21"/>
    <w:next w:val="1"/>
    <w:uiPriority w:val="0"/>
    <w:pPr>
      <w:ind w:left="1932" w:leftChars="767" w:hanging="334" w:hangingChars="105"/>
    </w:pPr>
  </w:style>
  <w:style w:type="paragraph" w:customStyle="1" w:styleId="25">
    <w:name w:val="14 成文日期"/>
    <w:basedOn w:val="1"/>
    <w:next w:val="1"/>
    <w:uiPriority w:val="0"/>
    <w:pPr>
      <w:spacing w:line="600" w:lineRule="exact"/>
      <w:ind w:right="1312" w:rightChars="630"/>
      <w:jc w:val="right"/>
    </w:pPr>
    <w:rPr>
      <w:rFonts w:ascii="仿宋_GB2312" w:hAnsi="仿宋_GB2312" w:eastAsia="仿宋_GB2312" w:cs="宋体"/>
      <w:sz w:val="32"/>
      <w:szCs w:val="20"/>
    </w:rPr>
  </w:style>
  <w:style w:type="paragraph" w:customStyle="1" w:styleId="26">
    <w:name w:val="13 发文机关署名"/>
    <w:basedOn w:val="25"/>
    <w:next w:val="1"/>
    <w:uiPriority w:val="0"/>
    <w:pPr>
      <w:spacing w:before="1500" w:beforeLines="500"/>
      <w:ind w:right="1500" w:rightChars="720"/>
    </w:pPr>
  </w:style>
  <w:style w:type="paragraph" w:customStyle="1" w:styleId="27">
    <w:name w:val="15 抄送机关"/>
    <w:basedOn w:val="1"/>
    <w:next w:val="1"/>
    <w:uiPriority w:val="0"/>
    <w:pPr>
      <w:spacing w:line="600" w:lineRule="exact"/>
      <w:ind w:left="1071" w:leftChars="140" w:right="292" w:rightChars="140" w:hanging="779" w:hangingChars="280"/>
    </w:pPr>
    <w:rPr>
      <w:rFonts w:ascii="仿宋_GB2312" w:hAnsi="Calibri" w:eastAsia="仿宋_GB2312" w:cs="宋体"/>
      <w:sz w:val="28"/>
      <w:szCs w:val="20"/>
    </w:rPr>
  </w:style>
  <w:style w:type="paragraph" w:customStyle="1" w:styleId="28">
    <w:name w:val="16 印发机关和印发日期"/>
    <w:basedOn w:val="1"/>
    <w:next w:val="1"/>
    <w:uiPriority w:val="0"/>
    <w:pPr>
      <w:tabs>
        <w:tab w:val="center" w:pos="7904"/>
      </w:tabs>
      <w:spacing w:line="600" w:lineRule="exact"/>
      <w:ind w:left="292" w:leftChars="140" w:right="292" w:rightChars="140"/>
    </w:pPr>
    <w:rPr>
      <w:rFonts w:ascii="仿宋_GB2312" w:hAnsi="Calibri" w:eastAsia="仿宋_GB2312" w:cs="宋体"/>
      <w:sz w:val="28"/>
      <w:szCs w:val="20"/>
    </w:rPr>
  </w:style>
  <w:style w:type="paragraph" w:customStyle="1" w:styleId="29">
    <w:name w:val="17 附件"/>
    <w:basedOn w:val="1"/>
    <w:next w:val="1"/>
    <w:uiPriority w:val="0"/>
    <w:pPr>
      <w:spacing w:line="600" w:lineRule="exact"/>
      <w:jc w:val="left"/>
    </w:pPr>
    <w:rPr>
      <w:rFonts w:ascii="黑体" w:hAnsi="Calibri" w:eastAsia="黑体"/>
      <w:sz w:val="32"/>
      <w:szCs w:val="32"/>
    </w:rPr>
  </w:style>
  <w:style w:type="paragraph" w:customStyle="1" w:styleId="30">
    <w:name w:val="〖A08〗公文标题"/>
    <w:basedOn w:val="1"/>
    <w:next w:val="1"/>
    <w:qFormat/>
    <w:uiPriority w:val="0"/>
    <w:pPr>
      <w:topLinePunct/>
      <w:spacing w:line="600" w:lineRule="exact"/>
      <w:jc w:val="center"/>
    </w:pPr>
    <w:rPr>
      <w:rFonts w:ascii="方正小标宋简体" w:hAnsi="Calibri" w:eastAsia="方正小标宋简体"/>
      <w:sz w:val="44"/>
      <w:szCs w:val="22"/>
    </w:rPr>
  </w:style>
  <w:style w:type="paragraph" w:customStyle="1" w:styleId="31">
    <w:name w:val="〖A09〗主送机关"/>
    <w:basedOn w:val="1"/>
    <w:next w:val="1"/>
    <w:qFormat/>
    <w:uiPriority w:val="0"/>
    <w:pPr>
      <w:topLinePunct/>
      <w:spacing w:line="600" w:lineRule="exact"/>
    </w:pPr>
    <w:rPr>
      <w:rFonts w:ascii="仿宋_GB2312" w:hAnsi="Calibri" w:eastAsia="仿宋_GB2312"/>
      <w:sz w:val="32"/>
      <w:szCs w:val="32"/>
    </w:rPr>
  </w:style>
  <w:style w:type="paragraph" w:customStyle="1" w:styleId="32">
    <w:name w:val="〖B01〗一级标题"/>
    <w:basedOn w:val="1"/>
    <w:next w:val="1"/>
    <w:qFormat/>
    <w:uiPriority w:val="0"/>
    <w:pPr>
      <w:numPr>
        <w:ilvl w:val="0"/>
        <w:numId w:val="1"/>
      </w:numPr>
      <w:topLinePunct/>
      <w:spacing w:line="600" w:lineRule="exact"/>
      <w:outlineLvl w:val="0"/>
    </w:pPr>
    <w:rPr>
      <w:rFonts w:ascii="黑体" w:hAnsi="Calibri" w:eastAsia="黑体"/>
      <w:sz w:val="32"/>
      <w:szCs w:val="32"/>
    </w:rPr>
  </w:style>
  <w:style w:type="paragraph" w:customStyle="1" w:styleId="33">
    <w:name w:val="〖C01〗正文"/>
    <w:basedOn w:val="1"/>
    <w:qFormat/>
    <w:uiPriority w:val="0"/>
    <w:pPr>
      <w:topLinePunct/>
      <w:spacing w:line="600" w:lineRule="exact"/>
      <w:ind w:firstLine="640" w:firstLineChars="200"/>
    </w:pPr>
    <w:rPr>
      <w:rFonts w:ascii="仿宋_GB2312" w:hAnsi="Calibri" w:eastAsia="仿宋_GB2312"/>
      <w:sz w:val="32"/>
      <w:szCs w:val="32"/>
    </w:rPr>
  </w:style>
  <w:style w:type="paragraph" w:customStyle="1" w:styleId="34">
    <w:name w:val="〖B02〗二级标题"/>
    <w:basedOn w:val="33"/>
    <w:next w:val="33"/>
    <w:qFormat/>
    <w:uiPriority w:val="0"/>
    <w:pPr>
      <w:numPr>
        <w:ilvl w:val="0"/>
        <w:numId w:val="2"/>
      </w:numPr>
      <w:ind w:firstLineChars="0"/>
      <w:outlineLvl w:val="1"/>
    </w:pPr>
    <w:rPr>
      <w:rFonts w:ascii="楷体_GB2312" w:eastAsia="楷体_GB2312"/>
    </w:rPr>
  </w:style>
  <w:style w:type="paragraph" w:customStyle="1" w:styleId="35">
    <w:name w:val="〖B03〗三级标题"/>
    <w:basedOn w:val="1"/>
    <w:qFormat/>
    <w:uiPriority w:val="0"/>
    <w:pPr>
      <w:numPr>
        <w:ilvl w:val="0"/>
        <w:numId w:val="3"/>
      </w:numPr>
      <w:topLinePunct/>
      <w:spacing w:line="600" w:lineRule="exact"/>
      <w:outlineLvl w:val="2"/>
    </w:pPr>
    <w:rPr>
      <w:rFonts w:ascii="楷体_GB2312" w:hAnsi="Calibri" w:eastAsia="楷体_GB2312"/>
      <w:sz w:val="32"/>
      <w:szCs w:val="32"/>
    </w:rPr>
  </w:style>
  <w:style w:type="paragraph" w:customStyle="1" w:styleId="36">
    <w:name w:val="〖A11〗页脚"/>
    <w:basedOn w:val="1"/>
    <w:qFormat/>
    <w:uiPriority w:val="0"/>
    <w:pPr>
      <w:tabs>
        <w:tab w:val="center" w:pos="4153"/>
        <w:tab w:val="right" w:pos="8306"/>
      </w:tabs>
      <w:topLinePunct/>
      <w:snapToGrid w:val="0"/>
      <w:jc w:val="right"/>
    </w:pPr>
    <w:rPr>
      <w:rFonts w:ascii="宋体"/>
      <w:kern w:val="0"/>
      <w:sz w:val="28"/>
      <w:szCs w:val="28"/>
    </w:rPr>
  </w:style>
  <w:style w:type="character" w:customStyle="1" w:styleId="37">
    <w:name w:val="页脚 Char"/>
    <w:link w:val="2"/>
    <w:uiPriority w:val="0"/>
    <w:rPr>
      <w:kern w:val="2"/>
      <w:sz w:val="18"/>
      <w:szCs w:val="18"/>
    </w:rPr>
  </w:style>
  <w:style w:type="paragraph" w:customStyle="1" w:styleId="38">
    <w:name w:val="〖C02〗发文单位及日期"/>
    <w:basedOn w:val="33"/>
    <w:next w:val="33"/>
    <w:qFormat/>
    <w:uiPriority w:val="0"/>
    <w:pPr>
      <w:tabs>
        <w:tab w:val="center" w:pos="6240"/>
      </w:tabs>
    </w:pPr>
  </w:style>
  <w:style w:type="paragraph" w:customStyle="1" w:styleId="39">
    <w:name w:val="〖A10〗版记"/>
    <w:basedOn w:val="1"/>
    <w:qFormat/>
    <w:uiPriority w:val="0"/>
    <w:pPr>
      <w:pBdr>
        <w:top w:val="single" w:color="auto" w:sz="4" w:space="1"/>
        <w:bottom w:val="single" w:color="auto" w:sz="4" w:space="1"/>
        <w:between w:val="single" w:color="auto" w:sz="4" w:space="1"/>
      </w:pBdr>
      <w:tabs>
        <w:tab w:val="left" w:pos="210"/>
        <w:tab w:val="right" w:pos="8610"/>
      </w:tabs>
      <w:topLinePunct/>
      <w:spacing w:line="600" w:lineRule="exact"/>
    </w:pPr>
    <w:rPr>
      <w:rFonts w:ascii="仿宋_GB2312" w:eastAsia="仿宋_GB2312"/>
      <w:sz w:val="28"/>
      <w:szCs w:val="28"/>
    </w:rPr>
  </w:style>
  <w:style w:type="paragraph" w:customStyle="1" w:styleId="40">
    <w:name w:val="〖A02〗上行文文号"/>
    <w:basedOn w:val="1"/>
    <w:qFormat/>
    <w:uiPriority w:val="0"/>
    <w:pPr>
      <w:tabs>
        <w:tab w:val="left" w:pos="208"/>
        <w:tab w:val="left" w:pos="6448"/>
      </w:tabs>
      <w:topLinePunct/>
      <w:spacing w:line="600" w:lineRule="exact"/>
    </w:pPr>
    <w:rPr>
      <w:rFonts w:ascii="仿宋_GB2312" w:eastAsia="仿宋_GB2312"/>
      <w:sz w:val="32"/>
    </w:rPr>
  </w:style>
  <w:style w:type="character" w:customStyle="1" w:styleId="41">
    <w:name w:val="页眉 Char"/>
    <w:link w:val="7"/>
    <w:uiPriority w:val="0"/>
    <w:rPr>
      <w:kern w:val="2"/>
      <w:sz w:val="18"/>
      <w:szCs w:val="18"/>
    </w:rPr>
  </w:style>
  <w:style w:type="character" w:customStyle="1" w:styleId="42">
    <w:name w:val="批注框文本 Char"/>
    <w:link w:val="6"/>
    <w:uiPriority w:val="0"/>
    <w:rPr>
      <w:kern w:val="2"/>
      <w:sz w:val="18"/>
      <w:szCs w:val="18"/>
    </w:rPr>
  </w:style>
  <w:style w:type="paragraph" w:customStyle="1" w:styleId="43">
    <w:name w:val="〖B09〗正文附件"/>
    <w:basedOn w:val="33"/>
    <w:next w:val="33"/>
    <w:qFormat/>
    <w:uiPriority w:val="0"/>
    <w:pPr>
      <w:ind w:left="1599" w:hanging="964" w:firstLineChars="0"/>
    </w:pPr>
  </w:style>
  <w:style w:type="paragraph" w:customStyle="1" w:styleId="44">
    <w:name w:val="〖A01〗公文红头子"/>
    <w:basedOn w:val="33"/>
    <w:next w:val="1"/>
    <w:uiPriority w:val="0"/>
    <w:pPr>
      <w:spacing w:after="1248" w:afterLines="400" w:line="2000" w:lineRule="exact"/>
      <w:ind w:left="210" w:leftChars="100" w:right="210" w:rightChars="100" w:firstLine="0" w:firstLineChars="0"/>
      <w:jc w:val="distribute"/>
    </w:pPr>
    <w:rPr>
      <w:rFonts w:ascii="方正小标宋简体" w:hAnsi="方正小标宋简体" w:eastAsia="方正小标宋简体" w:cs="宋体"/>
      <w:color w:val="FF0000"/>
      <w:w w:val="70"/>
      <w:sz w:val="140"/>
      <w:szCs w:val="20"/>
    </w:rPr>
  </w:style>
  <w:style w:type="paragraph" w:customStyle="1" w:styleId="45">
    <w:name w:val="〖A01〗函件红头子"/>
    <w:basedOn w:val="1"/>
    <w:next w:val="1"/>
    <w:uiPriority w:val="0"/>
    <w:pPr>
      <w:ind w:right="180" w:rightChars="180" w:firstLine="38" w:firstLineChars="38"/>
      <w:jc w:val="distribute"/>
    </w:pPr>
    <w:rPr>
      <w:rFonts w:ascii="方正小标宋简体" w:eastAsia="方正小标宋简体" w:cs="宋体"/>
      <w:color w:val="FF0000"/>
      <w:w w:val="80"/>
      <w:sz w:val="110"/>
      <w:szCs w:val="20"/>
    </w:rPr>
  </w:style>
  <w:style w:type="paragraph" w:customStyle="1" w:styleId="46">
    <w:name w:val="〖A03〗下行文文号"/>
    <w:basedOn w:val="1"/>
    <w:next w:val="33"/>
    <w:qFormat/>
    <w:uiPriority w:val="0"/>
    <w:pPr>
      <w:topLinePunct/>
      <w:spacing w:line="600" w:lineRule="exact"/>
      <w:jc w:val="center"/>
    </w:pPr>
    <w:rPr>
      <w:rFonts w:ascii="仿宋_GB2312" w:eastAsia="仿宋_GB2312"/>
      <w:sz w:val="32"/>
    </w:rPr>
  </w:style>
  <w:style w:type="paragraph" w:customStyle="1" w:styleId="47">
    <w:name w:val="〖A04〗函件文号"/>
    <w:next w:val="1"/>
    <w:qFormat/>
    <w:uiPriority w:val="0"/>
    <w:pPr>
      <w:spacing w:line="600" w:lineRule="exact"/>
      <w:ind w:left="318" w:right="318"/>
      <w:jc w:val="right"/>
    </w:pPr>
    <w:rPr>
      <w:rFonts w:ascii="仿宋_GB2312" w:hAnsi="Calibri" w:eastAsia="仿宋_GB2312" w:cs="Times New Roman"/>
      <w:kern w:val="2"/>
      <w:sz w:val="32"/>
      <w:szCs w:val="32"/>
      <w:lang w:val="en-US" w:eastAsia="zh-CN" w:bidi="ar-SA"/>
    </w:rPr>
  </w:style>
  <w:style w:type="paragraph" w:customStyle="1" w:styleId="48">
    <w:name w:val="〖A07〗公文红线"/>
    <w:basedOn w:val="1"/>
    <w:next w:val="1"/>
    <w:uiPriority w:val="0"/>
    <w:pPr>
      <w:spacing w:line="440" w:lineRule="exact"/>
      <w:jc w:val="distribute"/>
    </w:pPr>
    <w:rPr>
      <w:rFonts w:ascii="华文中宋" w:hAnsi="华文中宋" w:eastAsia="华文中宋" w:cs="宋体"/>
      <w:b/>
      <w:bCs/>
      <w:color w:val="FF0000"/>
      <w:sz w:val="88"/>
      <w:szCs w:val="20"/>
    </w:rPr>
  </w:style>
  <w:style w:type="paragraph" w:customStyle="1" w:styleId="49">
    <w:name w:val="〖A11〗页脚（偶数）"/>
    <w:basedOn w:val="2"/>
    <w:qFormat/>
    <w:uiPriority w:val="0"/>
    <w:pPr>
      <w:topLinePunct/>
    </w:pPr>
    <w:rPr>
      <w:rFonts w:ascii="宋体"/>
      <w:kern w:val="0"/>
      <w:sz w:val="28"/>
      <w:szCs w:val="28"/>
    </w:rPr>
  </w:style>
  <w:style w:type="paragraph" w:customStyle="1" w:styleId="50">
    <w:name w:val="〖A11〗页脚（奇数）"/>
    <w:basedOn w:val="2"/>
    <w:qFormat/>
    <w:uiPriority w:val="0"/>
    <w:pPr>
      <w:topLinePunct/>
      <w:jc w:val="right"/>
    </w:pPr>
    <w:rPr>
      <w:rFonts w:ascii="宋体"/>
      <w:kern w:val="0"/>
      <w:sz w:val="28"/>
      <w:szCs w:val="28"/>
    </w:rPr>
  </w:style>
  <w:style w:type="paragraph" w:customStyle="1" w:styleId="51">
    <w:name w:val="〖A01〗密级、紧急及附件"/>
    <w:next w:val="1"/>
    <w:qFormat/>
    <w:uiPriority w:val="0"/>
    <w:pPr>
      <w:spacing w:line="600" w:lineRule="exact"/>
    </w:pPr>
    <w:rPr>
      <w:rFonts w:ascii="黑体" w:hAnsi="Calibri" w:eastAsia="黑体" w:cs="Times New Roman"/>
      <w:kern w:val="2"/>
      <w:sz w:val="32"/>
      <w:szCs w:val="21"/>
      <w:lang w:val="en-US" w:eastAsia="zh-CN" w:bidi="ar-SA"/>
    </w:rPr>
  </w:style>
  <w:style w:type="paragraph" w:customStyle="1" w:styleId="52">
    <w:name w:val="〖A02〗签发人姓名"/>
    <w:next w:val="1"/>
    <w:link w:val="53"/>
    <w:qFormat/>
    <w:uiPriority w:val="0"/>
    <w:pPr>
      <w:tabs>
        <w:tab w:val="right" w:pos="8626"/>
      </w:tabs>
      <w:spacing w:line="600" w:lineRule="exact"/>
    </w:pPr>
    <w:rPr>
      <w:rFonts w:ascii="楷体_GB2312" w:hAnsi="Calibri" w:eastAsia="楷体_GB2312" w:cs="Times New Roman"/>
      <w:kern w:val="2"/>
      <w:sz w:val="32"/>
      <w:szCs w:val="21"/>
      <w:lang w:bidi="ar-SA"/>
    </w:rPr>
  </w:style>
  <w:style w:type="character" w:customStyle="1" w:styleId="53">
    <w:name w:val="〖A02〗签发人姓名 Char"/>
    <w:link w:val="52"/>
    <w:uiPriority w:val="0"/>
    <w:rPr>
      <w:rFonts w:ascii="楷体_GB2312" w:hAnsi="Calibri" w:eastAsia="楷体_GB2312"/>
      <w:kern w:val="2"/>
      <w:sz w:val="32"/>
      <w:szCs w:val="21"/>
      <w:lang w:bidi="ar-SA"/>
    </w:rPr>
  </w:style>
  <w:style w:type="paragraph" w:customStyle="1" w:styleId="54">
    <w:name w:val="〖A11〗偶数页码，4页以上"/>
    <w:basedOn w:val="2"/>
    <w:qFormat/>
    <w:uiPriority w:val="0"/>
    <w:pPr>
      <w:topLinePunct/>
      <w:ind w:left="134" w:leftChars="134"/>
    </w:pPr>
    <w:rPr>
      <w:rFonts w:ascii="宋体"/>
      <w:kern w:val="0"/>
      <w:sz w:val="28"/>
      <w:szCs w:val="28"/>
    </w:rPr>
  </w:style>
  <w:style w:type="paragraph" w:customStyle="1" w:styleId="55">
    <w:name w:val="〖A11〗奇数页码，4页以上"/>
    <w:basedOn w:val="2"/>
    <w:qFormat/>
    <w:uiPriority w:val="0"/>
    <w:pPr>
      <w:topLinePunct/>
      <w:ind w:right="134" w:rightChars="134"/>
      <w:jc w:val="right"/>
    </w:pPr>
    <w:rPr>
      <w:rFonts w:ascii="宋体"/>
      <w:kern w:val="0"/>
      <w:sz w:val="28"/>
      <w:szCs w:val="28"/>
    </w:rPr>
  </w:style>
  <w:style w:type="paragraph" w:customStyle="1" w:styleId="56">
    <w:name w:val="〖B04〗四级标题"/>
    <w:next w:val="1"/>
    <w:qFormat/>
    <w:uiPriority w:val="0"/>
    <w:pPr>
      <w:widowControl w:val="0"/>
      <w:numPr>
        <w:ilvl w:val="0"/>
        <w:numId w:val="4"/>
      </w:numPr>
      <w:spacing w:line="600" w:lineRule="exact"/>
      <w:outlineLvl w:val="3"/>
    </w:pPr>
    <w:rPr>
      <w:rFonts w:ascii="仿宋_GB2312" w:hAnsi="Calibri" w:eastAsia="仿宋_GB2312" w:cs="Times New Roman"/>
      <w:kern w:val="2"/>
      <w:sz w:val="32"/>
      <w:szCs w:val="32"/>
      <w:lang w:val="en-US" w:eastAsia="zh-CN" w:bidi="ar-SA"/>
    </w:rPr>
  </w:style>
  <w:style w:type="paragraph" w:customStyle="1" w:styleId="57">
    <w:name w:val="〖B09〗附件说明（无顺序号）"/>
    <w:next w:val="1"/>
    <w:qFormat/>
    <w:uiPriority w:val="0"/>
    <w:pPr>
      <w:widowControl w:val="0"/>
      <w:topLinePunct/>
      <w:spacing w:line="600" w:lineRule="exact"/>
      <w:ind w:left="1588" w:hanging="953"/>
    </w:pPr>
    <w:rPr>
      <w:rFonts w:ascii="仿宋_GB2312" w:hAnsi="Calibri" w:eastAsia="仿宋_GB2312" w:cs="Times New Roman"/>
      <w:kern w:val="2"/>
      <w:sz w:val="32"/>
      <w:szCs w:val="32"/>
      <w:lang w:val="en-US" w:eastAsia="zh-CN" w:bidi="ar-SA"/>
    </w:rPr>
  </w:style>
  <w:style w:type="paragraph" w:customStyle="1" w:styleId="58">
    <w:name w:val="〖B10〗附件说明（1）"/>
    <w:next w:val="1"/>
    <w:qFormat/>
    <w:uiPriority w:val="0"/>
    <w:pPr>
      <w:widowControl w:val="0"/>
      <w:spacing w:line="600" w:lineRule="exact"/>
      <w:ind w:left="1905" w:hanging="1270"/>
    </w:pPr>
    <w:rPr>
      <w:rFonts w:ascii="仿宋_GB2312" w:hAnsi="Calibri" w:eastAsia="仿宋_GB2312" w:cs="Times New Roman"/>
      <w:kern w:val="2"/>
      <w:sz w:val="32"/>
      <w:szCs w:val="21"/>
      <w:lang w:val="en-US" w:eastAsia="zh-CN" w:bidi="ar-SA"/>
    </w:rPr>
  </w:style>
  <w:style w:type="paragraph" w:customStyle="1" w:styleId="59">
    <w:name w:val="〖B10〗附件说明（234...）"/>
    <w:next w:val="1"/>
    <w:qFormat/>
    <w:uiPriority w:val="0"/>
    <w:pPr>
      <w:widowControl w:val="0"/>
      <w:spacing w:line="600" w:lineRule="exact"/>
      <w:ind w:left="1906" w:hanging="318"/>
    </w:pPr>
    <w:rPr>
      <w:rFonts w:ascii="仿宋_GB2312" w:hAnsi="Calibri" w:eastAsia="仿宋_GB2312" w:cs="Times New Roman"/>
      <w:kern w:val="2"/>
      <w:sz w:val="32"/>
      <w:szCs w:val="21"/>
      <w:lang w:val="en-US" w:eastAsia="zh-CN" w:bidi="ar-SA"/>
    </w:rPr>
  </w:style>
  <w:style w:type="paragraph" w:customStyle="1" w:styleId="60">
    <w:name w:val="〖C11〗图片格式"/>
    <w:next w:val="33"/>
    <w:uiPriority w:val="0"/>
    <w:pPr>
      <w:widowControl w:val="0"/>
      <w:jc w:val="center"/>
    </w:pPr>
    <w:rPr>
      <w:rFonts w:ascii="仿宋_GB2312" w:hAnsi="Calibri" w:eastAsia="仿宋_GB2312" w:cs="宋体"/>
      <w:kern w:val="2"/>
      <w:sz w:val="32"/>
      <w:lang w:val="en-US" w:eastAsia="zh-CN" w:bidi="ar-SA"/>
    </w:rPr>
  </w:style>
  <w:style w:type="character" w:customStyle="1" w:styleId="61">
    <w:name w:val="标题 1 Char"/>
    <w:link w:val="3"/>
    <w:uiPriority w:val="9"/>
    <w:rPr>
      <w:rFonts w:ascii="Calibri" w:hAnsi="Calibri"/>
      <w:b/>
      <w:bCs/>
      <w:kern w:val="44"/>
      <w:sz w:val="44"/>
      <w:szCs w:val="44"/>
    </w:rPr>
  </w:style>
  <w:style w:type="character" w:customStyle="1" w:styleId="62">
    <w:name w:val="标题 2 Char"/>
    <w:link w:val="4"/>
    <w:uiPriority w:val="9"/>
    <w:rPr>
      <w:rFonts w:ascii="Calibri Light" w:hAnsi="Calibri Light"/>
      <w:b/>
      <w:bCs/>
      <w:sz w:val="32"/>
      <w:szCs w:val="32"/>
    </w:rPr>
  </w:style>
  <w:style w:type="paragraph" w:customStyle="1" w:styleId="63">
    <w:name w:val="正文 A"/>
    <w:qFormat/>
    <w:uiPriority w:val="0"/>
    <w:pPr>
      <w:widowControl w:val="0"/>
      <w:jc w:val="both"/>
    </w:pPr>
    <w:rPr>
      <w:rFonts w:ascii="Times New Roman" w:hAnsi="Arial Unicode MS" w:eastAsia="Arial Unicode MS" w:cs="Arial Unicode MS"/>
      <w:color w:val="000000"/>
      <w:kern w:val="2"/>
      <w:sz w:val="21"/>
      <w:szCs w:val="21"/>
      <w:u w:val="none" w:color="000000"/>
      <w:lang w:val="en-US" w:eastAsia="zh-CN" w:bidi="ar-SA"/>
    </w:rPr>
  </w:style>
  <w:style w:type="paragraph" w:customStyle="1" w:styleId="64">
    <w:name w:val="正文文本1"/>
    <w:uiPriority w:val="0"/>
    <w:pPr>
      <w:widowControl w:val="0"/>
      <w:spacing w:after="120"/>
      <w:ind w:left="100" w:firstLine="200"/>
      <w:jc w:val="both"/>
    </w:pPr>
    <w:rPr>
      <w:rFonts w:ascii="Times New Roman" w:hAnsi="Times New Roman" w:eastAsia="Times New Roman" w:cs="Times New Roman"/>
      <w:color w:val="000000"/>
      <w:kern w:val="2"/>
      <w:sz w:val="21"/>
      <w:szCs w:val="21"/>
      <w:u w:val="none" w:color="000000"/>
      <w:lang w:val="en-US" w:eastAsia="zh-CN" w:bidi="ar-SA"/>
    </w:rPr>
  </w:style>
  <w:style w:type="paragraph" w:customStyle="1" w:styleId="65">
    <w:name w:val="WPSOffice手动目录 1"/>
    <w:uiPriority w:val="0"/>
    <w:pPr>
      <w:ind w:leftChars="0"/>
    </w:pPr>
    <w:rPr>
      <w:sz w:val="20"/>
      <w:szCs w:val="20"/>
    </w:rPr>
  </w:style>
  <w:style w:type="paragraph" w:customStyle="1" w:styleId="66">
    <w:name w:val="WPSOffice手动目录 2"/>
    <w:uiPriority w:val="0"/>
    <w:pPr>
      <w:ind w:leftChars="200"/>
    </w:pPr>
    <w:rPr>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预算科</Company>
  <Pages>8</Pages>
  <Words>3254</Words>
  <Characters>3458</Characters>
  <Lines>33</Lines>
  <Paragraphs>9</Paragraphs>
  <TotalTime>0</TotalTime>
  <ScaleCrop>false</ScaleCrop>
  <LinksUpToDate>false</LinksUpToDate>
  <CharactersWithSpaces>3473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2018-01-04T03:47:00Z</dcterms:created>
  <dc:creator>李永斌</dc:creator>
  <cp:lastModifiedBy>一叶枯</cp:lastModifiedBy>
  <cp:lastPrinted>2021-01-14T02:33:00Z</cp:lastPrinted>
  <dcterms:modified xsi:type="dcterms:W3CDTF">2022-04-20T08:11:34Z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3C728FB7478C4326BE299D77E0E0AEA7</vt:lpwstr>
  </property>
</Properties>
</file>