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863A3">
      <w:pPr>
        <w:spacing w:after="0" w:line="560" w:lineRule="exact"/>
        <w:jc w:val="center"/>
        <w:rPr>
          <w:rFonts w:hint="default" w:ascii="Times New Roman" w:hAnsi="Times New Roman" w:eastAsia="方正魏碑_GBK" w:cs="Times New Roman"/>
          <w:sz w:val="28"/>
          <w:szCs w:val="28"/>
        </w:rPr>
      </w:pPr>
      <w:bookmarkStart w:id="0" w:name="_Toc14970"/>
    </w:p>
    <w:p w14:paraId="6DE3ED65">
      <w:pPr>
        <w:spacing w:after="0" w:line="560" w:lineRule="exact"/>
        <w:jc w:val="center"/>
        <w:rPr>
          <w:rFonts w:hint="default" w:ascii="Times New Roman" w:hAnsi="Times New Roman" w:eastAsia="方正魏碑_GBK" w:cs="Times New Roman"/>
          <w:sz w:val="28"/>
          <w:szCs w:val="28"/>
        </w:rPr>
      </w:pPr>
    </w:p>
    <w:p w14:paraId="449DF655">
      <w:pPr>
        <w:spacing w:before="190" w:beforeLines="50" w:after="0" w:line="0" w:lineRule="atLeast"/>
        <w:jc w:val="center"/>
        <w:rPr>
          <w:rFonts w:hint="default" w:ascii="Times New Roman" w:hAnsi="Times New Roman" w:eastAsia="楷体_GB2312" w:cs="Times New Roman"/>
          <w:spacing w:val="40"/>
          <w:sz w:val="48"/>
          <w:szCs w:val="44"/>
        </w:rPr>
      </w:pPr>
      <w:bookmarkStart w:id="1" w:name="_Toc427067704"/>
      <w:bookmarkStart w:id="2" w:name="_Toc437619544"/>
      <w:bookmarkStart w:id="3" w:name="_Toc476302283"/>
      <w:bookmarkStart w:id="4" w:name="_Toc474147123"/>
      <w:bookmarkStart w:id="5" w:name="_Toc42883655"/>
      <w:r>
        <w:rPr>
          <w:rFonts w:hint="default" w:ascii="Times New Roman" w:hAnsi="Times New Roman" w:eastAsia="楷体_GB2312" w:cs="Times New Roman"/>
          <w:spacing w:val="40"/>
          <w:sz w:val="48"/>
          <w:szCs w:val="44"/>
        </w:rPr>
        <w:t>乐山市沙湾区“十五五”水安全</w:t>
      </w:r>
    </w:p>
    <w:p w14:paraId="10A7E926">
      <w:pPr>
        <w:spacing w:before="190" w:beforeLines="50" w:after="0" w:line="0" w:lineRule="atLeast"/>
        <w:jc w:val="center"/>
        <w:rPr>
          <w:rFonts w:hint="default" w:ascii="Times New Roman" w:hAnsi="Times New Roman" w:eastAsia="楷体_GB2312" w:cs="Times New Roman"/>
          <w:spacing w:val="40"/>
          <w:sz w:val="48"/>
          <w:szCs w:val="44"/>
          <w:lang w:val="en-US" w:eastAsia="zh-CN"/>
        </w:rPr>
      </w:pPr>
      <w:r>
        <w:rPr>
          <w:rFonts w:hint="default" w:ascii="Times New Roman" w:hAnsi="Times New Roman" w:eastAsia="楷体_GB2312" w:cs="Times New Roman"/>
          <w:spacing w:val="40"/>
          <w:sz w:val="48"/>
          <w:szCs w:val="44"/>
        </w:rPr>
        <w:t>保障规划</w:t>
      </w:r>
      <w:r>
        <w:rPr>
          <w:rFonts w:hint="eastAsia" w:eastAsia="楷体_GB2312" w:cs="Times New Roman"/>
          <w:spacing w:val="40"/>
          <w:sz w:val="48"/>
          <w:szCs w:val="44"/>
          <w:lang w:eastAsia="zh-CN"/>
        </w:rPr>
        <w:t>（</w:t>
      </w:r>
      <w:r>
        <w:rPr>
          <w:rFonts w:hint="eastAsia" w:eastAsia="楷体_GB2312" w:cs="Times New Roman"/>
          <w:spacing w:val="40"/>
          <w:sz w:val="48"/>
          <w:szCs w:val="44"/>
          <w:lang w:val="en-US" w:eastAsia="zh-CN"/>
        </w:rPr>
        <w:t>征求意见稿）</w:t>
      </w:r>
    </w:p>
    <w:bookmarkEnd w:id="1"/>
    <w:bookmarkEnd w:id="2"/>
    <w:bookmarkEnd w:id="3"/>
    <w:bookmarkEnd w:id="4"/>
    <w:bookmarkEnd w:id="5"/>
    <w:p w14:paraId="1A6D582E">
      <w:pPr>
        <w:spacing w:after="0" w:line="0" w:lineRule="atLeast"/>
        <w:jc w:val="center"/>
        <w:rPr>
          <w:rFonts w:hint="default" w:ascii="Times New Roman" w:hAnsi="Times New Roman" w:eastAsia="黑体" w:cs="Times New Roman"/>
          <w:b/>
          <w:bCs/>
          <w:szCs w:val="21"/>
        </w:rPr>
      </w:pPr>
    </w:p>
    <w:p w14:paraId="3C8171EF">
      <w:pPr>
        <w:spacing w:after="0" w:line="0" w:lineRule="atLeast"/>
        <w:jc w:val="center"/>
        <w:rPr>
          <w:rFonts w:hint="default" w:ascii="Times New Roman" w:hAnsi="Times New Roman" w:eastAsia="黑体" w:cs="Times New Roman"/>
          <w:b/>
          <w:bCs/>
          <w:szCs w:val="21"/>
        </w:rPr>
      </w:pPr>
    </w:p>
    <w:p w14:paraId="6BE499ED">
      <w:pPr>
        <w:spacing w:after="0" w:line="0" w:lineRule="atLeast"/>
        <w:jc w:val="center"/>
        <w:rPr>
          <w:rFonts w:hint="default" w:ascii="Times New Roman" w:hAnsi="Times New Roman" w:eastAsia="黑体" w:cs="Times New Roman"/>
          <w:b/>
          <w:bCs/>
          <w:szCs w:val="21"/>
        </w:rPr>
      </w:pPr>
    </w:p>
    <w:p w14:paraId="2B25FCA7">
      <w:pPr>
        <w:spacing w:after="0" w:line="0" w:lineRule="atLeast"/>
        <w:jc w:val="center"/>
        <w:rPr>
          <w:rFonts w:hint="default" w:ascii="Times New Roman" w:hAnsi="Times New Roman" w:eastAsia="黑体" w:cs="Times New Roman"/>
          <w:b/>
          <w:bCs/>
          <w:szCs w:val="21"/>
        </w:rPr>
      </w:pPr>
    </w:p>
    <w:p w14:paraId="2B975106">
      <w:pPr>
        <w:spacing w:after="0" w:line="0" w:lineRule="atLeast"/>
        <w:jc w:val="center"/>
        <w:rPr>
          <w:rFonts w:hint="default" w:ascii="Times New Roman" w:hAnsi="Times New Roman" w:eastAsia="黑体" w:cs="Times New Roman"/>
          <w:b/>
          <w:bCs/>
          <w:szCs w:val="21"/>
        </w:rPr>
      </w:pPr>
    </w:p>
    <w:p w14:paraId="3E08C536">
      <w:pPr>
        <w:spacing w:after="0" w:line="0" w:lineRule="atLeast"/>
        <w:jc w:val="center"/>
        <w:rPr>
          <w:rFonts w:hint="default" w:ascii="Times New Roman" w:hAnsi="Times New Roman" w:eastAsia="黑体" w:cs="Times New Roman"/>
          <w:b/>
          <w:bCs/>
          <w:szCs w:val="21"/>
        </w:rPr>
      </w:pPr>
    </w:p>
    <w:p w14:paraId="7ABDDAB1">
      <w:pPr>
        <w:spacing w:after="0" w:line="0" w:lineRule="atLeast"/>
        <w:jc w:val="center"/>
        <w:rPr>
          <w:rFonts w:hint="default" w:ascii="Times New Roman" w:hAnsi="Times New Roman" w:eastAsia="黑体" w:cs="Times New Roman"/>
          <w:b/>
          <w:bCs/>
          <w:szCs w:val="21"/>
        </w:rPr>
      </w:pPr>
    </w:p>
    <w:p w14:paraId="4033BEB7">
      <w:pPr>
        <w:spacing w:after="0" w:line="0" w:lineRule="atLeast"/>
        <w:jc w:val="center"/>
        <w:rPr>
          <w:rFonts w:hint="default" w:ascii="Times New Roman" w:hAnsi="Times New Roman" w:eastAsia="黑体" w:cs="Times New Roman"/>
          <w:b/>
          <w:bCs/>
          <w:szCs w:val="21"/>
        </w:rPr>
      </w:pPr>
    </w:p>
    <w:p w14:paraId="1086AB64">
      <w:pPr>
        <w:spacing w:after="0" w:line="0" w:lineRule="atLeast"/>
        <w:jc w:val="center"/>
        <w:rPr>
          <w:rFonts w:hint="default" w:ascii="Times New Roman" w:hAnsi="Times New Roman" w:eastAsia="黑体" w:cs="Times New Roman"/>
          <w:b/>
          <w:bCs/>
          <w:szCs w:val="21"/>
        </w:rPr>
      </w:pPr>
    </w:p>
    <w:p w14:paraId="67372D4D">
      <w:pPr>
        <w:spacing w:after="0" w:line="0" w:lineRule="atLeast"/>
        <w:jc w:val="center"/>
        <w:rPr>
          <w:rFonts w:hint="default" w:ascii="Times New Roman" w:hAnsi="Times New Roman" w:eastAsia="黑体" w:cs="Times New Roman"/>
          <w:b/>
          <w:bCs/>
          <w:szCs w:val="21"/>
        </w:rPr>
      </w:pPr>
    </w:p>
    <w:p w14:paraId="2AEDAF73">
      <w:pPr>
        <w:spacing w:after="0" w:line="0" w:lineRule="atLeast"/>
        <w:jc w:val="center"/>
        <w:rPr>
          <w:rFonts w:hint="default" w:ascii="Times New Roman" w:hAnsi="Times New Roman" w:eastAsia="黑体" w:cs="Times New Roman"/>
          <w:b/>
          <w:bCs/>
          <w:szCs w:val="21"/>
        </w:rPr>
      </w:pPr>
    </w:p>
    <w:p w14:paraId="08CE513C">
      <w:pPr>
        <w:spacing w:after="0" w:line="0" w:lineRule="atLeast"/>
        <w:jc w:val="center"/>
        <w:rPr>
          <w:rFonts w:hint="default" w:ascii="Times New Roman" w:hAnsi="Times New Roman" w:eastAsia="黑体" w:cs="Times New Roman"/>
          <w:b/>
          <w:bCs/>
          <w:szCs w:val="21"/>
        </w:rPr>
      </w:pPr>
    </w:p>
    <w:p w14:paraId="68C2F629">
      <w:pPr>
        <w:spacing w:after="0" w:line="0" w:lineRule="atLeast"/>
        <w:jc w:val="center"/>
        <w:rPr>
          <w:rFonts w:hint="default" w:ascii="Times New Roman" w:hAnsi="Times New Roman" w:eastAsia="黑体" w:cs="Times New Roman"/>
          <w:b/>
          <w:bCs/>
          <w:szCs w:val="21"/>
        </w:rPr>
      </w:pPr>
    </w:p>
    <w:p w14:paraId="3B9D41B1">
      <w:pPr>
        <w:spacing w:after="0" w:line="0" w:lineRule="atLeast"/>
        <w:jc w:val="center"/>
        <w:rPr>
          <w:rFonts w:hint="default" w:ascii="Times New Roman" w:hAnsi="Times New Roman" w:eastAsia="黑体" w:cs="Times New Roman"/>
          <w:b/>
          <w:bCs/>
          <w:szCs w:val="21"/>
        </w:rPr>
      </w:pPr>
    </w:p>
    <w:p w14:paraId="593B545F">
      <w:pPr>
        <w:spacing w:after="0" w:line="0" w:lineRule="atLeast"/>
        <w:jc w:val="center"/>
        <w:rPr>
          <w:rFonts w:hint="default" w:ascii="Times New Roman" w:hAnsi="Times New Roman" w:eastAsia="黑体" w:cs="Times New Roman"/>
          <w:b/>
          <w:bCs/>
          <w:szCs w:val="21"/>
        </w:rPr>
      </w:pPr>
    </w:p>
    <w:p w14:paraId="49EE062D">
      <w:pPr>
        <w:spacing w:after="0" w:line="0" w:lineRule="atLeast"/>
        <w:jc w:val="center"/>
        <w:rPr>
          <w:rFonts w:hint="default" w:ascii="Times New Roman" w:hAnsi="Times New Roman" w:eastAsia="黑体" w:cs="Times New Roman"/>
          <w:b/>
          <w:bCs/>
          <w:szCs w:val="21"/>
        </w:rPr>
      </w:pPr>
    </w:p>
    <w:p w14:paraId="7AB7E90B">
      <w:pPr>
        <w:spacing w:after="0" w:line="0" w:lineRule="atLeast"/>
        <w:jc w:val="center"/>
        <w:rPr>
          <w:rFonts w:hint="default" w:ascii="Times New Roman" w:hAnsi="Times New Roman" w:eastAsia="黑体" w:cs="Times New Roman"/>
          <w:b/>
          <w:bCs/>
          <w:szCs w:val="21"/>
        </w:rPr>
      </w:pPr>
    </w:p>
    <w:p w14:paraId="11540D08">
      <w:pPr>
        <w:spacing w:after="0" w:line="0" w:lineRule="atLeast"/>
        <w:jc w:val="center"/>
        <w:rPr>
          <w:rFonts w:hint="default" w:ascii="Times New Roman" w:hAnsi="Times New Roman" w:eastAsia="黑体" w:cs="Times New Roman"/>
          <w:b/>
          <w:bCs/>
          <w:szCs w:val="21"/>
        </w:rPr>
      </w:pPr>
    </w:p>
    <w:p w14:paraId="2DDD9DA9">
      <w:pPr>
        <w:spacing w:after="0" w:line="0" w:lineRule="atLeast"/>
        <w:jc w:val="center"/>
        <w:rPr>
          <w:rFonts w:hint="default" w:ascii="Times New Roman" w:hAnsi="Times New Roman" w:eastAsia="黑体" w:cs="Times New Roman"/>
          <w:b/>
          <w:bCs/>
          <w:szCs w:val="21"/>
        </w:rPr>
      </w:pPr>
    </w:p>
    <w:p w14:paraId="363482B9">
      <w:pPr>
        <w:spacing w:after="0" w:line="0" w:lineRule="atLeast"/>
        <w:jc w:val="center"/>
        <w:rPr>
          <w:rFonts w:hint="default" w:ascii="Times New Roman" w:hAnsi="Times New Roman" w:eastAsia="黑体" w:cs="Times New Roman"/>
          <w:b/>
          <w:bCs/>
          <w:szCs w:val="21"/>
        </w:rPr>
      </w:pPr>
    </w:p>
    <w:p w14:paraId="64A7D344">
      <w:pPr>
        <w:spacing w:after="0" w:line="0" w:lineRule="atLeast"/>
        <w:jc w:val="center"/>
        <w:rPr>
          <w:rFonts w:hint="default" w:ascii="Times New Roman" w:hAnsi="Times New Roman" w:eastAsia="黑体" w:cs="Times New Roman"/>
          <w:b/>
          <w:bCs/>
          <w:szCs w:val="21"/>
        </w:rPr>
      </w:pPr>
    </w:p>
    <w:p w14:paraId="4A4FCE19">
      <w:pPr>
        <w:spacing w:after="0" w:line="0" w:lineRule="atLeast"/>
        <w:jc w:val="center"/>
        <w:rPr>
          <w:rFonts w:hint="default" w:ascii="Times New Roman" w:hAnsi="Times New Roman" w:eastAsia="黑体" w:cs="Times New Roman"/>
          <w:b/>
          <w:bCs/>
          <w:szCs w:val="21"/>
        </w:rPr>
      </w:pPr>
    </w:p>
    <w:p w14:paraId="308F6206">
      <w:pPr>
        <w:spacing w:after="0" w:line="0" w:lineRule="atLeast"/>
        <w:jc w:val="center"/>
        <w:rPr>
          <w:rFonts w:hint="default" w:ascii="Times New Roman" w:hAnsi="Times New Roman" w:eastAsia="黑体" w:cs="Times New Roman"/>
          <w:b/>
          <w:bCs/>
          <w:szCs w:val="21"/>
        </w:rPr>
      </w:pPr>
    </w:p>
    <w:p w14:paraId="71A90017">
      <w:pPr>
        <w:spacing w:after="0" w:line="0" w:lineRule="atLeast"/>
        <w:jc w:val="center"/>
        <w:rPr>
          <w:rFonts w:hint="default" w:ascii="Times New Roman" w:hAnsi="Times New Roman" w:eastAsia="黑体" w:cs="Times New Roman"/>
          <w:b/>
          <w:bCs/>
          <w:szCs w:val="21"/>
        </w:rPr>
      </w:pPr>
    </w:p>
    <w:p w14:paraId="1EC388EC">
      <w:pPr>
        <w:spacing w:after="0" w:line="0" w:lineRule="atLeast"/>
        <w:jc w:val="center"/>
        <w:rPr>
          <w:rFonts w:hint="default" w:ascii="Times New Roman" w:hAnsi="Times New Roman" w:eastAsia="黑体" w:cs="Times New Roman"/>
          <w:b/>
          <w:bCs/>
          <w:szCs w:val="21"/>
        </w:rPr>
      </w:pPr>
    </w:p>
    <w:p w14:paraId="5314EFAF">
      <w:pPr>
        <w:spacing w:after="0" w:line="0" w:lineRule="atLeast"/>
        <w:jc w:val="center"/>
        <w:rPr>
          <w:rFonts w:hint="default" w:ascii="Times New Roman" w:hAnsi="Times New Roman" w:eastAsia="黑体" w:cs="Times New Roman"/>
          <w:b/>
          <w:bCs/>
          <w:szCs w:val="21"/>
        </w:rPr>
      </w:pPr>
    </w:p>
    <w:p w14:paraId="75CB9AE3">
      <w:pPr>
        <w:spacing w:after="0" w:line="0" w:lineRule="atLeast"/>
        <w:jc w:val="center"/>
        <w:rPr>
          <w:rFonts w:hint="default" w:ascii="Times New Roman" w:hAnsi="Times New Roman" w:eastAsia="黑体" w:cs="Times New Roman"/>
          <w:b/>
          <w:bCs/>
          <w:szCs w:val="21"/>
        </w:rPr>
      </w:pPr>
    </w:p>
    <w:p w14:paraId="6DE885C0">
      <w:pPr>
        <w:spacing w:after="0" w:line="0" w:lineRule="atLeast"/>
        <w:jc w:val="center"/>
        <w:rPr>
          <w:rFonts w:hint="default" w:ascii="Times New Roman" w:hAnsi="Times New Roman" w:eastAsia="黑体" w:cs="Times New Roman"/>
          <w:b/>
          <w:bCs/>
          <w:szCs w:val="21"/>
        </w:rPr>
      </w:pPr>
    </w:p>
    <w:p w14:paraId="56D9E5F9">
      <w:pPr>
        <w:spacing w:after="0" w:line="0" w:lineRule="atLeast"/>
        <w:jc w:val="center"/>
        <w:rPr>
          <w:rFonts w:hint="default" w:ascii="Times New Roman" w:hAnsi="Times New Roman" w:eastAsia="黑体" w:cs="Times New Roman"/>
          <w:b/>
          <w:bCs/>
          <w:szCs w:val="21"/>
        </w:rPr>
      </w:pPr>
    </w:p>
    <w:p w14:paraId="56B3B513">
      <w:pPr>
        <w:spacing w:after="0" w:line="0" w:lineRule="atLeast"/>
        <w:jc w:val="center"/>
        <w:rPr>
          <w:rFonts w:hint="default" w:ascii="Times New Roman" w:hAnsi="Times New Roman" w:eastAsia="黑体" w:cs="Times New Roman"/>
          <w:b/>
          <w:bCs/>
          <w:szCs w:val="21"/>
        </w:rPr>
      </w:pPr>
    </w:p>
    <w:p w14:paraId="6DA0D77E">
      <w:pPr>
        <w:spacing w:after="0" w:line="0" w:lineRule="atLeast"/>
        <w:jc w:val="center"/>
        <w:rPr>
          <w:rFonts w:hint="default" w:ascii="Times New Roman" w:hAnsi="Times New Roman" w:eastAsia="黑体" w:cs="Times New Roman"/>
          <w:b/>
          <w:bCs/>
          <w:szCs w:val="21"/>
        </w:rPr>
      </w:pPr>
    </w:p>
    <w:p w14:paraId="68311143">
      <w:pPr>
        <w:spacing w:after="0" w:line="0" w:lineRule="atLeast"/>
        <w:jc w:val="center"/>
        <w:rPr>
          <w:rFonts w:hint="default" w:ascii="Times New Roman" w:hAnsi="Times New Roman" w:eastAsia="黑体" w:cs="Times New Roman"/>
          <w:b/>
          <w:bCs/>
          <w:szCs w:val="21"/>
        </w:rPr>
      </w:pPr>
    </w:p>
    <w:p w14:paraId="62117AD3">
      <w:pPr>
        <w:spacing w:after="0" w:line="0" w:lineRule="atLeast"/>
        <w:jc w:val="center"/>
        <w:rPr>
          <w:rFonts w:hint="default" w:ascii="Times New Roman" w:hAnsi="Times New Roman" w:eastAsia="黑体" w:cs="Times New Roman"/>
          <w:b/>
          <w:bCs/>
          <w:szCs w:val="21"/>
        </w:rPr>
      </w:pPr>
    </w:p>
    <w:p w14:paraId="47F05E7E">
      <w:pPr>
        <w:spacing w:after="0" w:line="0" w:lineRule="atLeast"/>
        <w:jc w:val="center"/>
        <w:rPr>
          <w:rFonts w:hint="default" w:ascii="Times New Roman" w:hAnsi="Times New Roman" w:eastAsia="黑体" w:cs="Times New Roman"/>
          <w:b/>
          <w:bCs/>
          <w:szCs w:val="21"/>
        </w:rPr>
      </w:pPr>
    </w:p>
    <w:p w14:paraId="0E05D93E">
      <w:pPr>
        <w:spacing w:after="0" w:line="0" w:lineRule="atLeast"/>
        <w:jc w:val="center"/>
        <w:rPr>
          <w:rFonts w:hint="default" w:ascii="Times New Roman" w:hAnsi="Times New Roman" w:eastAsia="黑体" w:cs="Times New Roman"/>
          <w:b/>
          <w:bCs/>
          <w:szCs w:val="21"/>
        </w:rPr>
      </w:pPr>
    </w:p>
    <w:p w14:paraId="666F669C">
      <w:pPr>
        <w:pStyle w:val="51"/>
        <w:spacing w:after="0"/>
        <w:rPr>
          <w:rFonts w:hint="default" w:ascii="Times New Roman" w:hAnsi="Times New Roman" w:cs="Times New Roman"/>
        </w:rPr>
      </w:pPr>
    </w:p>
    <w:p w14:paraId="5E1DEC32">
      <w:pPr>
        <w:pStyle w:val="16"/>
        <w:spacing w:after="0" w:line="560" w:lineRule="exact"/>
        <w:jc w:val="center"/>
        <w:rPr>
          <w:rFonts w:hint="default" w:ascii="Times New Roman" w:hAnsi="Times New Roman" w:eastAsia="华文中宋" w:cs="Times New Roman"/>
          <w:bCs/>
          <w:sz w:val="32"/>
          <w:szCs w:val="32"/>
        </w:rPr>
      </w:pPr>
      <w:r>
        <w:rPr>
          <w:rFonts w:hint="default" w:ascii="Times New Roman" w:hAnsi="Times New Roman" w:eastAsia="华文中宋" w:cs="Times New Roman"/>
          <w:bCs/>
          <w:sz w:val="32"/>
          <w:szCs w:val="32"/>
        </w:rPr>
        <w:t>二</w:t>
      </w:r>
      <w:r>
        <w:rPr>
          <w:rFonts w:hint="default" w:ascii="Times New Roman" w:hAnsi="Times New Roman" w:eastAsia="华文中宋" w:cs="Times New Roman"/>
          <w:b/>
          <w:bCs/>
          <w:sz w:val="32"/>
          <w:szCs w:val="32"/>
        </w:rPr>
        <w:t>○</w:t>
      </w:r>
      <w:r>
        <w:rPr>
          <w:rFonts w:hint="default" w:ascii="Times New Roman" w:hAnsi="Times New Roman" w:eastAsia="华文中宋" w:cs="Times New Roman"/>
          <w:bCs/>
          <w:sz w:val="32"/>
          <w:szCs w:val="32"/>
        </w:rPr>
        <w:t>二六年</w:t>
      </w:r>
      <w:r>
        <w:rPr>
          <w:rFonts w:hint="default" w:ascii="Times New Roman" w:hAnsi="Times New Roman" w:eastAsia="华文中宋" w:cs="Times New Roman"/>
          <w:bCs/>
          <w:sz w:val="32"/>
          <w:szCs w:val="32"/>
          <w:lang w:val="en-US" w:eastAsia="zh-CN"/>
        </w:rPr>
        <w:t>八</w:t>
      </w:r>
      <w:r>
        <w:rPr>
          <w:rFonts w:hint="default" w:ascii="Times New Roman" w:hAnsi="Times New Roman" w:eastAsia="华文中宋" w:cs="Times New Roman"/>
          <w:bCs/>
          <w:sz w:val="32"/>
          <w:szCs w:val="32"/>
        </w:rPr>
        <w:t>月</w:t>
      </w:r>
    </w:p>
    <w:p w14:paraId="0A82902D">
      <w:pPr>
        <w:widowControl/>
        <w:spacing w:after="0" w:line="240" w:lineRule="auto"/>
        <w:jc w:val="left"/>
        <w:rPr>
          <w:rFonts w:hint="default" w:ascii="Times New Roman" w:hAnsi="Times New Roman" w:cs="Times New Roman"/>
          <w:sz w:val="22"/>
          <w:szCs w:val="28"/>
        </w:rPr>
      </w:pPr>
    </w:p>
    <w:p w14:paraId="38D79FEF">
      <w:pPr>
        <w:widowControl/>
        <w:spacing w:after="0" w:line="240" w:lineRule="auto"/>
        <w:jc w:val="left"/>
        <w:rPr>
          <w:rFonts w:hint="default" w:ascii="Times New Roman" w:hAnsi="Times New Roman" w:cs="Times New Roman"/>
          <w:sz w:val="22"/>
          <w:szCs w:val="28"/>
        </w:rPr>
      </w:pPr>
    </w:p>
    <w:p w14:paraId="231F5809">
      <w:pPr>
        <w:widowControl/>
        <w:spacing w:after="0" w:line="240" w:lineRule="auto"/>
        <w:jc w:val="left"/>
        <w:rPr>
          <w:rFonts w:hint="default" w:ascii="Times New Roman" w:hAnsi="Times New Roman" w:cs="Times New Roman"/>
          <w:sz w:val="22"/>
          <w:szCs w:val="28"/>
        </w:rPr>
      </w:pPr>
    </w:p>
    <w:p w14:paraId="37D0631E">
      <w:pPr>
        <w:widowControl/>
        <w:spacing w:after="0" w:line="240" w:lineRule="auto"/>
        <w:jc w:val="left"/>
        <w:rPr>
          <w:rFonts w:hint="default" w:ascii="Times New Roman" w:hAnsi="Times New Roman" w:cs="Times New Roman"/>
          <w:sz w:val="22"/>
          <w:szCs w:val="28"/>
        </w:rPr>
      </w:pPr>
    </w:p>
    <w:p w14:paraId="141F877E">
      <w:pPr>
        <w:pStyle w:val="51"/>
        <w:spacing w:after="0"/>
        <w:rPr>
          <w:rFonts w:hint="default" w:ascii="Times New Roman" w:hAnsi="Times New Roman" w:eastAsia="黑体" w:cs="Times New Roman"/>
          <w:sz w:val="48"/>
          <w:szCs w:val="48"/>
        </w:rPr>
      </w:pPr>
      <w:bookmarkStart w:id="6" w:name="_Toc191997903"/>
      <w:bookmarkStart w:id="7" w:name="_Toc29319"/>
      <w:bookmarkStart w:id="8" w:name="_Toc175777405"/>
      <w:bookmarkStart w:id="9" w:name="_Toc929"/>
      <w:bookmarkStart w:id="10" w:name="_Toc175777526"/>
      <w:bookmarkStart w:id="11" w:name="_Toc6808"/>
      <w:bookmarkStart w:id="12" w:name="_Toc21053"/>
      <w:bookmarkStart w:id="13" w:name="_Toc2147139942"/>
      <w:r>
        <w:rPr>
          <w:rFonts w:hint="default" w:ascii="Times New Roman" w:hAnsi="Times New Roman" w:eastAsia="黑体" w:cs="Times New Roman"/>
          <w:sz w:val="48"/>
          <w:szCs w:val="48"/>
        </w:rPr>
        <w:t>前</w:t>
      </w:r>
      <w:r>
        <w:rPr>
          <w:rFonts w:hint="default" w:ascii="Times New Roman" w:hAnsi="Times New Roman" w:eastAsia="仿宋_GB2312" w:cs="Times New Roman"/>
          <w:sz w:val="48"/>
          <w:szCs w:val="48"/>
        </w:rPr>
        <w:t xml:space="preserve">    </w:t>
      </w:r>
      <w:r>
        <w:rPr>
          <w:rFonts w:hint="default" w:ascii="Times New Roman" w:hAnsi="Times New Roman" w:eastAsia="黑体" w:cs="Times New Roman"/>
          <w:sz w:val="48"/>
          <w:szCs w:val="48"/>
        </w:rPr>
        <w:t xml:space="preserve"> 言</w:t>
      </w:r>
      <w:bookmarkEnd w:id="6"/>
      <w:bookmarkEnd w:id="7"/>
      <w:bookmarkEnd w:id="8"/>
      <w:bookmarkEnd w:id="9"/>
      <w:bookmarkEnd w:id="10"/>
      <w:bookmarkEnd w:id="11"/>
      <w:bookmarkEnd w:id="12"/>
    </w:p>
    <w:p w14:paraId="3F9C94E1">
      <w:pPr>
        <w:pStyle w:val="48"/>
        <w:spacing w:after="0"/>
        <w:ind w:firstLine="640"/>
        <w:rPr>
          <w:rFonts w:hint="default" w:ascii="Times New Roman" w:hAnsi="Times New Roman" w:cs="Times New Roman"/>
          <w:sz w:val="32"/>
          <w:szCs w:val="21"/>
        </w:rPr>
      </w:pPr>
    </w:p>
    <w:p w14:paraId="2167671A">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“十五五”时期是基本实现社会主义现代化夯实基础、全面发力的关键时期，也是沙湾与全国、全省、全市同步基本实现</w:t>
      </w:r>
      <w:r>
        <w:rPr>
          <w:rFonts w:hint="default" w:ascii="Times New Roman" w:hAnsi="Times New Roman" w:cs="Times New Roman"/>
          <w:sz w:val="32"/>
          <w:szCs w:val="32"/>
          <w:lang w:eastAsia="zh"/>
        </w:rPr>
        <w:t>中国式</w:t>
      </w:r>
      <w:r>
        <w:rPr>
          <w:rFonts w:hint="default" w:ascii="Times New Roman" w:hAnsi="Times New Roman" w:cs="Times New Roman"/>
          <w:sz w:val="32"/>
          <w:szCs w:val="32"/>
        </w:rPr>
        <w:t>现代化承上启下的关键攻坚期，</w:t>
      </w:r>
      <w:r>
        <w:rPr>
          <w:rFonts w:hint="default" w:ascii="Times New Roman" w:hAnsi="Times New Roman" w:cs="Times New Roman"/>
          <w:sz w:val="32"/>
          <w:szCs w:val="32"/>
          <w:lang w:val="en-US" w:eastAsia="zh-CN"/>
        </w:rPr>
        <w:t>更</w:t>
      </w:r>
      <w:r>
        <w:rPr>
          <w:rFonts w:hint="default" w:ascii="Times New Roman" w:hAnsi="Times New Roman" w:cs="Times New Roman"/>
          <w:sz w:val="32"/>
          <w:szCs w:val="32"/>
        </w:rPr>
        <w:t>是沙湾厚植发展新优势、培育发展新动能，打开高质量发展新局面的关键时期。沙湾区今后五年的经济社会发展的三项重大任务分别是：建设沫若文化名城，建设全国先进材料生产基地，建设国家现代特色农业示范区。完善水资源、水生态、水环境和水安全综合保障体系，在把握“新发展阶段”、践行“新发展理念”、融入“新发展格局”中展现水利生产、生活、生态三大目标引领，全方位推动沙湾区高质量发展。</w:t>
      </w:r>
    </w:p>
    <w:p w14:paraId="1C2518A3">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水安全是实现中国式现代化的基础性、战略性支撑和底线保障，党中央、国务院作出一系列重大战略部署，引领我国治水事业取得历史性成就，更为科学推进“十五五”时期水利高质量发展、筑牢水安全屏障提供了根本遵循和行动指南。</w:t>
      </w:r>
    </w:p>
    <w:p w14:paraId="07E8CB07">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为贯彻落实《</w:t>
      </w:r>
      <w:bookmarkStart w:id="14" w:name="OLE_LINK10"/>
      <w:bookmarkStart w:id="15" w:name="OLE_LINK9"/>
      <w:r>
        <w:rPr>
          <w:rFonts w:hint="default" w:ascii="Times New Roman" w:hAnsi="Times New Roman" w:cs="Times New Roman"/>
          <w:sz w:val="32"/>
          <w:szCs w:val="32"/>
        </w:rPr>
        <w:t>乐山市沙湾区国民经济和社会发展第十五个五年规划纲要草案</w:t>
      </w:r>
      <w:bookmarkEnd w:id="14"/>
      <w:bookmarkEnd w:id="15"/>
      <w:r>
        <w:rPr>
          <w:rFonts w:hint="default" w:ascii="Times New Roman" w:hAnsi="Times New Roman" w:cs="Times New Roman"/>
          <w:sz w:val="32"/>
          <w:szCs w:val="32"/>
        </w:rPr>
        <w:t>》和《乐山市“十五五”水安全保障规划》，结合实际，编制本规划。</w:t>
      </w:r>
    </w:p>
    <w:p w14:paraId="099C13F1">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本次规划对沙湾区“十四五”水利建设成就进行了总结，分析了水安全保障现状存在的主要问题及面临的形势；根据当前国家保障水安全基本思路、水利产业政策形势，研究提出了“十五五”水安全保障的总体要求、目标任务、保障措施以及二〇四〇年远景目标，是未来五年及更长时期沙湾区水安全保障工作的指导性文件。</w:t>
      </w:r>
    </w:p>
    <w:p w14:paraId="17322220">
      <w:pPr>
        <w:pStyle w:val="33"/>
        <w:spacing w:after="0" w:line="600" w:lineRule="exact"/>
        <w:ind w:firstLine="640"/>
        <w:rPr>
          <w:rFonts w:hint="default" w:ascii="Times New Roman" w:hAnsi="Times New Roman" w:cs="Times New Roman"/>
          <w:sz w:val="32"/>
          <w:szCs w:val="32"/>
        </w:rPr>
      </w:pPr>
    </w:p>
    <w:p w14:paraId="79C74A66">
      <w:pPr>
        <w:pStyle w:val="33"/>
        <w:spacing w:after="0" w:line="600" w:lineRule="exact"/>
        <w:ind w:firstLine="640"/>
        <w:rPr>
          <w:rFonts w:hint="default" w:ascii="Times New Roman" w:hAnsi="Times New Roman" w:cs="Times New Roman"/>
          <w:sz w:val="32"/>
          <w:szCs w:val="32"/>
        </w:rPr>
      </w:pPr>
    </w:p>
    <w:p w14:paraId="6B458074">
      <w:pPr>
        <w:pStyle w:val="33"/>
        <w:spacing w:after="0" w:line="600" w:lineRule="exact"/>
        <w:ind w:firstLine="640"/>
        <w:rPr>
          <w:rFonts w:hint="default" w:ascii="Times New Roman" w:hAnsi="Times New Roman" w:cs="Times New Roman"/>
          <w:sz w:val="32"/>
          <w:szCs w:val="32"/>
        </w:rPr>
      </w:pPr>
    </w:p>
    <w:p w14:paraId="6DE8B97B">
      <w:pPr>
        <w:pStyle w:val="33"/>
        <w:spacing w:after="0" w:line="600" w:lineRule="exact"/>
        <w:ind w:firstLine="640"/>
        <w:rPr>
          <w:rFonts w:hint="default" w:ascii="Times New Roman" w:hAnsi="Times New Roman" w:cs="Times New Roman"/>
          <w:sz w:val="32"/>
          <w:szCs w:val="32"/>
        </w:rPr>
      </w:pPr>
    </w:p>
    <w:p w14:paraId="34CB1AB7">
      <w:pPr>
        <w:pStyle w:val="33"/>
        <w:spacing w:after="0" w:line="600" w:lineRule="exact"/>
        <w:ind w:firstLine="640"/>
        <w:rPr>
          <w:rFonts w:hint="default" w:ascii="Times New Roman" w:hAnsi="Times New Roman" w:cs="Times New Roman"/>
          <w:sz w:val="32"/>
          <w:szCs w:val="32"/>
        </w:rPr>
      </w:pPr>
    </w:p>
    <w:p w14:paraId="56CFACC4">
      <w:pPr>
        <w:pStyle w:val="33"/>
        <w:spacing w:after="0" w:line="600" w:lineRule="exact"/>
        <w:ind w:firstLine="640"/>
        <w:rPr>
          <w:rFonts w:hint="default" w:ascii="Times New Roman" w:hAnsi="Times New Roman" w:cs="Times New Roman"/>
          <w:sz w:val="32"/>
          <w:szCs w:val="32"/>
        </w:rPr>
      </w:pPr>
    </w:p>
    <w:p w14:paraId="6F3C05A5">
      <w:pPr>
        <w:pStyle w:val="33"/>
        <w:spacing w:after="0" w:line="600" w:lineRule="exact"/>
        <w:ind w:firstLine="640"/>
        <w:rPr>
          <w:rFonts w:hint="default" w:ascii="Times New Roman" w:hAnsi="Times New Roman" w:cs="Times New Roman"/>
          <w:sz w:val="32"/>
          <w:szCs w:val="32"/>
        </w:rPr>
      </w:pPr>
    </w:p>
    <w:p w14:paraId="1352C6C0">
      <w:pPr>
        <w:pStyle w:val="33"/>
        <w:spacing w:after="0" w:line="600" w:lineRule="exact"/>
        <w:ind w:firstLine="640"/>
        <w:rPr>
          <w:rFonts w:hint="default" w:ascii="Times New Roman" w:hAnsi="Times New Roman" w:cs="Times New Roman"/>
          <w:sz w:val="32"/>
          <w:szCs w:val="32"/>
        </w:rPr>
      </w:pPr>
    </w:p>
    <w:p w14:paraId="098865C2">
      <w:pPr>
        <w:pStyle w:val="33"/>
        <w:spacing w:after="0" w:line="600" w:lineRule="exact"/>
        <w:ind w:firstLine="640"/>
        <w:rPr>
          <w:rFonts w:hint="default" w:ascii="Times New Roman" w:hAnsi="Times New Roman" w:cs="Times New Roman"/>
          <w:sz w:val="32"/>
          <w:szCs w:val="32"/>
        </w:rPr>
      </w:pPr>
    </w:p>
    <w:p w14:paraId="137CA81B">
      <w:pPr>
        <w:pStyle w:val="33"/>
        <w:spacing w:after="0" w:line="600" w:lineRule="exact"/>
        <w:ind w:firstLine="640"/>
        <w:rPr>
          <w:rFonts w:hint="default" w:ascii="Times New Roman" w:hAnsi="Times New Roman" w:cs="Times New Roman"/>
          <w:sz w:val="32"/>
          <w:szCs w:val="32"/>
        </w:rPr>
      </w:pPr>
    </w:p>
    <w:p w14:paraId="41C9F18A">
      <w:pPr>
        <w:pStyle w:val="33"/>
        <w:spacing w:after="0" w:line="600" w:lineRule="exact"/>
        <w:ind w:firstLine="640"/>
        <w:rPr>
          <w:rFonts w:hint="default" w:ascii="Times New Roman" w:hAnsi="Times New Roman" w:cs="Times New Roman"/>
          <w:sz w:val="32"/>
          <w:szCs w:val="32"/>
        </w:rPr>
      </w:pPr>
    </w:p>
    <w:p w14:paraId="64F011DF">
      <w:pPr>
        <w:pStyle w:val="33"/>
        <w:spacing w:after="0" w:line="600" w:lineRule="exact"/>
        <w:ind w:firstLine="640"/>
        <w:rPr>
          <w:rFonts w:hint="default" w:ascii="Times New Roman" w:hAnsi="Times New Roman" w:cs="Times New Roman"/>
          <w:sz w:val="32"/>
          <w:szCs w:val="32"/>
        </w:rPr>
      </w:pPr>
    </w:p>
    <w:p w14:paraId="3A4A294E">
      <w:pPr>
        <w:pStyle w:val="33"/>
        <w:spacing w:after="0" w:line="600" w:lineRule="exact"/>
        <w:ind w:firstLine="640"/>
        <w:rPr>
          <w:rFonts w:hint="default" w:ascii="Times New Roman" w:hAnsi="Times New Roman" w:cs="Times New Roman"/>
          <w:sz w:val="32"/>
          <w:szCs w:val="32"/>
        </w:rPr>
      </w:pPr>
    </w:p>
    <w:p w14:paraId="0022A156">
      <w:pPr>
        <w:pStyle w:val="33"/>
        <w:spacing w:after="0" w:line="600" w:lineRule="exact"/>
        <w:ind w:firstLine="640"/>
        <w:rPr>
          <w:rFonts w:hint="default" w:ascii="Times New Roman" w:hAnsi="Times New Roman" w:cs="Times New Roman"/>
          <w:sz w:val="32"/>
          <w:szCs w:val="32"/>
        </w:rPr>
      </w:pPr>
    </w:p>
    <w:p w14:paraId="7CD3DD6C">
      <w:pPr>
        <w:pStyle w:val="33"/>
        <w:spacing w:after="0" w:line="600" w:lineRule="exact"/>
        <w:ind w:firstLine="640"/>
        <w:rPr>
          <w:rFonts w:hint="default" w:ascii="Times New Roman" w:hAnsi="Times New Roman" w:cs="Times New Roman"/>
          <w:sz w:val="32"/>
          <w:szCs w:val="32"/>
        </w:rPr>
      </w:pPr>
    </w:p>
    <w:p w14:paraId="6B876526">
      <w:pPr>
        <w:pStyle w:val="33"/>
        <w:spacing w:after="0" w:line="600" w:lineRule="exact"/>
        <w:ind w:firstLine="640"/>
        <w:rPr>
          <w:rFonts w:hint="default" w:ascii="Times New Roman" w:hAnsi="Times New Roman" w:cs="Times New Roman"/>
          <w:sz w:val="32"/>
          <w:szCs w:val="32"/>
        </w:rPr>
      </w:pPr>
    </w:p>
    <w:p w14:paraId="78B42482">
      <w:pPr>
        <w:pStyle w:val="33"/>
        <w:spacing w:after="0" w:line="600" w:lineRule="exact"/>
        <w:ind w:firstLine="640"/>
        <w:rPr>
          <w:rFonts w:hint="default" w:ascii="Times New Roman" w:hAnsi="Times New Roman" w:cs="Times New Roman"/>
          <w:sz w:val="32"/>
          <w:szCs w:val="32"/>
        </w:rPr>
      </w:pPr>
    </w:p>
    <w:p w14:paraId="4F61DFDF">
      <w:pPr>
        <w:pStyle w:val="33"/>
        <w:spacing w:after="0" w:line="600" w:lineRule="exact"/>
        <w:ind w:firstLine="640"/>
        <w:rPr>
          <w:rFonts w:hint="default" w:ascii="Times New Roman" w:hAnsi="Times New Roman" w:cs="Times New Roman"/>
          <w:sz w:val="32"/>
          <w:szCs w:val="32"/>
        </w:rPr>
      </w:pPr>
    </w:p>
    <w:p w14:paraId="4B471547">
      <w:pPr>
        <w:widowControl/>
        <w:spacing w:after="0" w:line="240" w:lineRule="auto"/>
        <w:jc w:val="left"/>
        <w:rPr>
          <w:rFonts w:hint="default" w:ascii="Times New Roman" w:hAnsi="Times New Roman" w:eastAsia="仿宋_GB2312" w:cs="Times New Roman"/>
          <w:kern w:val="0"/>
          <w:sz w:val="32"/>
          <w:szCs w:val="21"/>
        </w:rPr>
      </w:pPr>
    </w:p>
    <w:p w14:paraId="7EBAF6B5">
      <w:pPr>
        <w:pStyle w:val="51"/>
        <w:spacing w:after="0"/>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w:t>
      </w:r>
      <w:r>
        <w:rPr>
          <w:rFonts w:hint="default" w:ascii="Times New Roman" w:hAnsi="Times New Roman" w:eastAsia="仿宋_GB2312" w:cs="Times New Roman"/>
          <w:sz w:val="48"/>
          <w:szCs w:val="48"/>
        </w:rPr>
        <w:t xml:space="preserve">     </w:t>
      </w:r>
      <w:r>
        <w:rPr>
          <w:rFonts w:hint="default" w:ascii="Times New Roman" w:hAnsi="Times New Roman" w:eastAsia="黑体" w:cs="Times New Roman"/>
          <w:sz w:val="48"/>
          <w:szCs w:val="48"/>
        </w:rPr>
        <w:t>录</w:t>
      </w:r>
    </w:p>
    <w:p w14:paraId="43CB48EE">
      <w:pPr>
        <w:pStyle w:val="51"/>
        <w:spacing w:after="0"/>
        <w:rPr>
          <w:rFonts w:hint="default" w:ascii="Times New Roman" w:hAnsi="Times New Roman" w:eastAsia="黑体" w:cs="Times New Roman"/>
          <w:sz w:val="48"/>
          <w:szCs w:val="48"/>
        </w:rPr>
      </w:pPr>
    </w:p>
    <w:p w14:paraId="1DA48544">
      <w:pPr>
        <w:pStyle w:val="20"/>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TOC \o "1-2" \h \z \u </w:instrText>
      </w:r>
      <w:r>
        <w:rPr>
          <w:rFonts w:hint="default" w:ascii="Times New Roman" w:hAnsi="Times New Roman" w:eastAsia="楷体_GB2312" w:cs="Times New Roman"/>
          <w:szCs w:val="40"/>
          <w:lang w:val="zh-CN"/>
        </w:rPr>
        <w:fldChar w:fldCharType="separate"/>
      </w: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_Toc25232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6"/>
        </w:rPr>
        <w:t xml:space="preserve">第一章 </w:t>
      </w:r>
      <w:r>
        <w:rPr>
          <w:rFonts w:hint="default" w:ascii="Times New Roman" w:hAnsi="Times New Roman" w:cs="Times New Roman"/>
          <w:szCs w:val="36"/>
        </w:rPr>
        <w:t>“十四五”水利发展</w:t>
      </w:r>
      <w:r>
        <w:rPr>
          <w:rFonts w:hint="default" w:ascii="Times New Roman" w:hAnsi="Times New Roman" w:cs="Times New Roman"/>
          <w:szCs w:val="36"/>
          <w:lang w:val="en-US"/>
        </w:rPr>
        <w:t>主要成效</w:t>
      </w:r>
      <w:r>
        <w:tab/>
      </w:r>
      <w:r>
        <w:fldChar w:fldCharType="begin"/>
      </w:r>
      <w:r>
        <w:instrText xml:space="preserve"> PAGEREF _Toc25232 \h </w:instrText>
      </w:r>
      <w:r>
        <w:fldChar w:fldCharType="separate"/>
      </w:r>
      <w:r>
        <w:t>1</w:t>
      </w:r>
      <w:r>
        <w:fldChar w:fldCharType="end"/>
      </w:r>
      <w:r>
        <w:rPr>
          <w:rFonts w:hint="default" w:ascii="Times New Roman" w:hAnsi="Times New Roman" w:eastAsia="楷体_GB2312" w:cs="Times New Roman"/>
          <w:szCs w:val="40"/>
          <w:lang w:val="zh-CN"/>
        </w:rPr>
        <w:fldChar w:fldCharType="end"/>
      </w:r>
    </w:p>
    <w:p w14:paraId="3CD8433B">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_Toc11727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第一节 </w:t>
      </w:r>
      <w:r>
        <w:rPr>
          <w:rFonts w:hint="default" w:ascii="Times New Roman" w:hAnsi="Times New Roman" w:cs="Times New Roman"/>
          <w:szCs w:val="32"/>
          <w:lang w:val="en-US"/>
        </w:rPr>
        <w:t>水旱灾害防御</w:t>
      </w:r>
      <w:r>
        <w:rPr>
          <w:rFonts w:hint="default" w:ascii="Times New Roman" w:hAnsi="Times New Roman" w:cs="Times New Roman"/>
          <w:szCs w:val="32"/>
        </w:rPr>
        <w:t>能力</w:t>
      </w:r>
      <w:r>
        <w:rPr>
          <w:rFonts w:hint="default" w:ascii="Times New Roman" w:hAnsi="Times New Roman" w:cs="Times New Roman"/>
          <w:szCs w:val="32"/>
          <w:lang w:val="en-US"/>
        </w:rPr>
        <w:t>稳步</w:t>
      </w:r>
      <w:r>
        <w:rPr>
          <w:rFonts w:hint="default" w:ascii="Times New Roman" w:hAnsi="Times New Roman" w:cs="Times New Roman"/>
          <w:szCs w:val="32"/>
        </w:rPr>
        <w:t>提升</w:t>
      </w:r>
      <w:r>
        <w:tab/>
      </w:r>
      <w:r>
        <w:fldChar w:fldCharType="begin"/>
      </w:r>
      <w:r>
        <w:instrText xml:space="preserve"> PAGEREF _Toc11727 \h </w:instrText>
      </w:r>
      <w:r>
        <w:fldChar w:fldCharType="separate"/>
      </w:r>
      <w:r>
        <w:t>1</w:t>
      </w:r>
      <w:r>
        <w:fldChar w:fldCharType="end"/>
      </w:r>
      <w:r>
        <w:rPr>
          <w:rFonts w:hint="default" w:ascii="Times New Roman" w:hAnsi="Times New Roman" w:eastAsia="楷体_GB2312" w:cs="Times New Roman"/>
          <w:szCs w:val="40"/>
          <w:lang w:val="zh-CN"/>
        </w:rPr>
        <w:fldChar w:fldCharType="end"/>
      </w:r>
    </w:p>
    <w:p w14:paraId="1845ED71">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_Toc26699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第二节 </w:t>
      </w:r>
      <w:r>
        <w:rPr>
          <w:rFonts w:hint="default" w:ascii="Times New Roman" w:hAnsi="Times New Roman" w:cs="Times New Roman"/>
          <w:szCs w:val="32"/>
        </w:rPr>
        <w:t>供水安全保障能力</w:t>
      </w:r>
      <w:r>
        <w:rPr>
          <w:rFonts w:hint="default" w:ascii="Times New Roman" w:hAnsi="Times New Roman" w:cs="Times New Roman"/>
          <w:szCs w:val="32"/>
          <w:lang w:val="en-US"/>
        </w:rPr>
        <w:t>持续增强</w:t>
      </w:r>
      <w:r>
        <w:tab/>
      </w:r>
      <w:r>
        <w:fldChar w:fldCharType="begin"/>
      </w:r>
      <w:r>
        <w:instrText xml:space="preserve"> PAGEREF _Toc26699 \h </w:instrText>
      </w:r>
      <w:r>
        <w:fldChar w:fldCharType="separate"/>
      </w:r>
      <w:r>
        <w:t>3</w:t>
      </w:r>
      <w:r>
        <w:fldChar w:fldCharType="end"/>
      </w:r>
      <w:r>
        <w:rPr>
          <w:rFonts w:hint="default" w:ascii="Times New Roman" w:hAnsi="Times New Roman" w:eastAsia="楷体_GB2312" w:cs="Times New Roman"/>
          <w:szCs w:val="40"/>
          <w:lang w:val="zh-CN"/>
        </w:rPr>
        <w:fldChar w:fldCharType="end"/>
      </w:r>
    </w:p>
    <w:p w14:paraId="4125D7ED">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_Toc16799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第三节 </w:t>
      </w:r>
      <w:r>
        <w:rPr>
          <w:rFonts w:hint="default" w:ascii="Times New Roman" w:hAnsi="Times New Roman" w:cs="Times New Roman"/>
          <w:szCs w:val="32"/>
          <w:lang w:val="en-US"/>
        </w:rPr>
        <w:t>河湖生态环境面貌持续改善</w:t>
      </w:r>
      <w:r>
        <w:tab/>
      </w:r>
      <w:r>
        <w:fldChar w:fldCharType="begin"/>
      </w:r>
      <w:r>
        <w:instrText xml:space="preserve"> PAGEREF _Toc16799 \h </w:instrText>
      </w:r>
      <w:r>
        <w:fldChar w:fldCharType="separate"/>
      </w:r>
      <w:r>
        <w:t>4</w:t>
      </w:r>
      <w:r>
        <w:fldChar w:fldCharType="end"/>
      </w:r>
      <w:r>
        <w:rPr>
          <w:rFonts w:hint="default" w:ascii="Times New Roman" w:hAnsi="Times New Roman" w:eastAsia="楷体_GB2312" w:cs="Times New Roman"/>
          <w:szCs w:val="40"/>
          <w:lang w:val="zh-CN"/>
        </w:rPr>
        <w:fldChar w:fldCharType="end"/>
      </w:r>
    </w:p>
    <w:p w14:paraId="656D6FBF">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_Toc17151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第四节 </w:t>
      </w:r>
      <w:r>
        <w:rPr>
          <w:rFonts w:hint="default" w:ascii="Times New Roman" w:hAnsi="Times New Roman" w:cs="Times New Roman"/>
          <w:szCs w:val="32"/>
        </w:rPr>
        <w:t>智慧水利建设初具成效</w:t>
      </w:r>
      <w:r>
        <w:tab/>
      </w:r>
      <w:r>
        <w:fldChar w:fldCharType="begin"/>
      </w:r>
      <w:r>
        <w:instrText xml:space="preserve"> PAGEREF _Toc17151 \h </w:instrText>
      </w:r>
      <w:r>
        <w:fldChar w:fldCharType="separate"/>
      </w:r>
      <w:r>
        <w:t>5</w:t>
      </w:r>
      <w:r>
        <w:fldChar w:fldCharType="end"/>
      </w:r>
      <w:r>
        <w:rPr>
          <w:rFonts w:hint="default" w:ascii="Times New Roman" w:hAnsi="Times New Roman" w:eastAsia="楷体_GB2312" w:cs="Times New Roman"/>
          <w:szCs w:val="40"/>
          <w:lang w:val="zh-CN"/>
        </w:rPr>
        <w:fldChar w:fldCharType="end"/>
      </w:r>
    </w:p>
    <w:p w14:paraId="071A12B8">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_Toc24502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lang w:val="en-US"/>
        </w:rPr>
        <w:t xml:space="preserve">第五节 </w:t>
      </w:r>
      <w:r>
        <w:rPr>
          <w:rFonts w:hint="default" w:ascii="Times New Roman" w:hAnsi="Times New Roman" w:cs="Times New Roman"/>
          <w:szCs w:val="32"/>
        </w:rPr>
        <w:t>水利治理管理水平持续提升</w:t>
      </w:r>
      <w:r>
        <w:tab/>
      </w:r>
      <w:r>
        <w:fldChar w:fldCharType="begin"/>
      </w:r>
      <w:r>
        <w:instrText xml:space="preserve"> PAGEREF _Toc24502 \h </w:instrText>
      </w:r>
      <w:r>
        <w:fldChar w:fldCharType="separate"/>
      </w:r>
      <w:r>
        <w:t>6</w:t>
      </w:r>
      <w:r>
        <w:fldChar w:fldCharType="end"/>
      </w:r>
      <w:r>
        <w:rPr>
          <w:rFonts w:hint="default" w:ascii="Times New Roman" w:hAnsi="Times New Roman" w:eastAsia="楷体_GB2312" w:cs="Times New Roman"/>
          <w:szCs w:val="40"/>
          <w:lang w:val="zh-CN"/>
        </w:rPr>
        <w:fldChar w:fldCharType="end"/>
      </w:r>
    </w:p>
    <w:p w14:paraId="130E25D8">
      <w:pPr>
        <w:pStyle w:val="20"/>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_Toc3132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6"/>
        </w:rPr>
        <w:t xml:space="preserve">第二章 </w:t>
      </w:r>
      <w:r>
        <w:rPr>
          <w:rFonts w:hint="default" w:ascii="Times New Roman" w:hAnsi="Times New Roman" w:cs="Times New Roman"/>
          <w:szCs w:val="36"/>
          <w:lang w:val="en-US"/>
        </w:rPr>
        <w:t>现状与</w:t>
      </w:r>
      <w:r>
        <w:rPr>
          <w:rFonts w:hint="default" w:ascii="Times New Roman" w:hAnsi="Times New Roman" w:cs="Times New Roman"/>
          <w:szCs w:val="36"/>
        </w:rPr>
        <w:t>形势</w:t>
      </w:r>
      <w:r>
        <w:tab/>
      </w:r>
      <w:r>
        <w:fldChar w:fldCharType="begin"/>
      </w:r>
      <w:r>
        <w:instrText xml:space="preserve"> PAGEREF _Toc3132 \h </w:instrText>
      </w:r>
      <w:r>
        <w:fldChar w:fldCharType="separate"/>
      </w:r>
      <w:r>
        <w:t>8</w:t>
      </w:r>
      <w:r>
        <w:fldChar w:fldCharType="end"/>
      </w:r>
      <w:r>
        <w:rPr>
          <w:rFonts w:hint="default" w:ascii="Times New Roman" w:hAnsi="Times New Roman" w:eastAsia="楷体_GB2312" w:cs="Times New Roman"/>
          <w:szCs w:val="40"/>
          <w:lang w:val="zh-CN"/>
        </w:rPr>
        <w:fldChar w:fldCharType="end"/>
      </w:r>
    </w:p>
    <w:p w14:paraId="61232CD9">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_Toc3870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第一节 </w:t>
      </w:r>
      <w:r>
        <w:rPr>
          <w:rFonts w:hint="default" w:ascii="Times New Roman" w:hAnsi="Times New Roman" w:cs="Times New Roman"/>
          <w:szCs w:val="32"/>
        </w:rPr>
        <w:t>水安全保障现状</w:t>
      </w:r>
      <w:r>
        <w:tab/>
      </w:r>
      <w:r>
        <w:fldChar w:fldCharType="begin"/>
      </w:r>
      <w:r>
        <w:instrText xml:space="preserve"> PAGEREF _Toc3870 \h </w:instrText>
      </w:r>
      <w:r>
        <w:fldChar w:fldCharType="separate"/>
      </w:r>
      <w:r>
        <w:t>8</w:t>
      </w:r>
      <w:r>
        <w:fldChar w:fldCharType="end"/>
      </w:r>
      <w:r>
        <w:rPr>
          <w:rFonts w:hint="default" w:ascii="Times New Roman" w:hAnsi="Times New Roman" w:eastAsia="楷体_GB2312" w:cs="Times New Roman"/>
          <w:szCs w:val="40"/>
          <w:lang w:val="zh-CN"/>
        </w:rPr>
        <w:fldChar w:fldCharType="end"/>
      </w:r>
    </w:p>
    <w:p w14:paraId="23196989">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_Toc31691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第二节 </w:t>
      </w:r>
      <w:r>
        <w:rPr>
          <w:rFonts w:hint="default" w:ascii="Times New Roman" w:hAnsi="Times New Roman" w:cs="Times New Roman"/>
          <w:szCs w:val="32"/>
          <w:lang w:val="en-US"/>
        </w:rPr>
        <w:t>存在的问题</w:t>
      </w:r>
      <w:r>
        <w:tab/>
      </w:r>
      <w:r>
        <w:fldChar w:fldCharType="begin"/>
      </w:r>
      <w:r>
        <w:instrText xml:space="preserve"> PAGEREF _Toc31691 \h </w:instrText>
      </w:r>
      <w:r>
        <w:fldChar w:fldCharType="separate"/>
      </w:r>
      <w:r>
        <w:t>8</w:t>
      </w:r>
      <w:r>
        <w:fldChar w:fldCharType="end"/>
      </w:r>
      <w:r>
        <w:rPr>
          <w:rFonts w:hint="default" w:ascii="Times New Roman" w:hAnsi="Times New Roman" w:eastAsia="楷体_GB2312" w:cs="Times New Roman"/>
          <w:szCs w:val="40"/>
          <w:lang w:val="zh-CN"/>
        </w:rPr>
        <w:fldChar w:fldCharType="end"/>
      </w:r>
    </w:p>
    <w:p w14:paraId="18B12793">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_Toc27063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第三节 </w:t>
      </w:r>
      <w:r>
        <w:rPr>
          <w:rFonts w:hint="default" w:ascii="Times New Roman" w:hAnsi="Times New Roman" w:cs="Times New Roman"/>
          <w:szCs w:val="32"/>
        </w:rPr>
        <w:t>“</w:t>
      </w:r>
      <w:r>
        <w:rPr>
          <w:rFonts w:hint="default" w:ascii="Times New Roman" w:hAnsi="Times New Roman" w:cs="Times New Roman"/>
          <w:szCs w:val="32"/>
          <w:lang w:val="en-US"/>
        </w:rPr>
        <w:t>十五五</w:t>
      </w:r>
      <w:r>
        <w:rPr>
          <w:rFonts w:hint="default" w:ascii="Times New Roman" w:hAnsi="Times New Roman" w:cs="Times New Roman"/>
          <w:szCs w:val="32"/>
        </w:rPr>
        <w:t>”</w:t>
      </w:r>
      <w:r>
        <w:rPr>
          <w:rFonts w:hint="default" w:ascii="Times New Roman" w:hAnsi="Times New Roman" w:cs="Times New Roman"/>
          <w:szCs w:val="32"/>
          <w:lang w:val="en-US"/>
        </w:rPr>
        <w:t>水安全保障</w:t>
      </w:r>
      <w:r>
        <w:rPr>
          <w:rFonts w:hint="default" w:ascii="Times New Roman" w:hAnsi="Times New Roman" w:cs="Times New Roman"/>
          <w:szCs w:val="32"/>
        </w:rPr>
        <w:t>面临的形势</w:t>
      </w:r>
      <w:r>
        <w:tab/>
      </w:r>
      <w:r>
        <w:fldChar w:fldCharType="begin"/>
      </w:r>
      <w:r>
        <w:instrText xml:space="preserve"> PAGEREF _Toc27063 \h </w:instrText>
      </w:r>
      <w:r>
        <w:fldChar w:fldCharType="separate"/>
      </w:r>
      <w:r>
        <w:t>10</w:t>
      </w:r>
      <w:r>
        <w:fldChar w:fldCharType="end"/>
      </w:r>
      <w:r>
        <w:rPr>
          <w:rFonts w:hint="default" w:ascii="Times New Roman" w:hAnsi="Times New Roman" w:eastAsia="楷体_GB2312" w:cs="Times New Roman"/>
          <w:szCs w:val="40"/>
          <w:lang w:val="zh-CN"/>
        </w:rPr>
        <w:fldChar w:fldCharType="end"/>
      </w:r>
    </w:p>
    <w:p w14:paraId="554F3972">
      <w:pPr>
        <w:pStyle w:val="20"/>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_Toc2120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6"/>
        </w:rPr>
        <w:t xml:space="preserve">第三章 </w:t>
      </w:r>
      <w:r>
        <w:rPr>
          <w:rFonts w:hint="default" w:ascii="Times New Roman" w:hAnsi="Times New Roman" w:cs="Times New Roman"/>
          <w:szCs w:val="36"/>
        </w:rPr>
        <w:t>总体</w:t>
      </w:r>
      <w:r>
        <w:rPr>
          <w:rFonts w:hint="default" w:ascii="Times New Roman" w:hAnsi="Times New Roman" w:cs="Times New Roman"/>
          <w:szCs w:val="36"/>
          <w:lang w:val="en-US"/>
        </w:rPr>
        <w:t>要求</w:t>
      </w:r>
      <w:r>
        <w:tab/>
      </w:r>
      <w:r>
        <w:fldChar w:fldCharType="begin"/>
      </w:r>
      <w:r>
        <w:instrText xml:space="preserve"> PAGEREF _Toc2120 \h </w:instrText>
      </w:r>
      <w:r>
        <w:fldChar w:fldCharType="separate"/>
      </w:r>
      <w:r>
        <w:t>11</w:t>
      </w:r>
      <w:r>
        <w:fldChar w:fldCharType="end"/>
      </w:r>
      <w:r>
        <w:rPr>
          <w:rFonts w:hint="default" w:ascii="Times New Roman" w:hAnsi="Times New Roman" w:eastAsia="楷体_GB2312" w:cs="Times New Roman"/>
          <w:szCs w:val="40"/>
          <w:lang w:val="zh-CN"/>
        </w:rPr>
        <w:fldChar w:fldCharType="end"/>
      </w:r>
    </w:p>
    <w:p w14:paraId="68AC0A6C">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_Toc9988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第一节 </w:t>
      </w:r>
      <w:r>
        <w:rPr>
          <w:rFonts w:hint="default" w:ascii="Times New Roman" w:hAnsi="Times New Roman" w:cs="Times New Roman"/>
          <w:szCs w:val="32"/>
        </w:rPr>
        <w:t>指导思想</w:t>
      </w:r>
      <w:r>
        <w:tab/>
      </w:r>
      <w:r>
        <w:fldChar w:fldCharType="begin"/>
      </w:r>
      <w:r>
        <w:instrText xml:space="preserve"> PAGEREF _Toc9988 \h </w:instrText>
      </w:r>
      <w:r>
        <w:fldChar w:fldCharType="separate"/>
      </w:r>
      <w:r>
        <w:t>11</w:t>
      </w:r>
      <w:r>
        <w:fldChar w:fldCharType="end"/>
      </w:r>
      <w:r>
        <w:rPr>
          <w:rFonts w:hint="default" w:ascii="Times New Roman" w:hAnsi="Times New Roman" w:eastAsia="楷体_GB2312" w:cs="Times New Roman"/>
          <w:szCs w:val="40"/>
          <w:lang w:val="zh-CN"/>
        </w:rPr>
        <w:fldChar w:fldCharType="end"/>
      </w:r>
    </w:p>
    <w:p w14:paraId="1F760E16">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_Toc311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第二节 </w:t>
      </w:r>
      <w:r>
        <w:rPr>
          <w:rFonts w:hint="default" w:ascii="Times New Roman" w:hAnsi="Times New Roman" w:cs="Times New Roman"/>
          <w:szCs w:val="32"/>
        </w:rPr>
        <w:t>基本原则</w:t>
      </w:r>
      <w:r>
        <w:tab/>
      </w:r>
      <w:r>
        <w:fldChar w:fldCharType="begin"/>
      </w:r>
      <w:r>
        <w:instrText xml:space="preserve"> PAGEREF _Toc311 \h </w:instrText>
      </w:r>
      <w:r>
        <w:fldChar w:fldCharType="separate"/>
      </w:r>
      <w:r>
        <w:t>11</w:t>
      </w:r>
      <w:r>
        <w:fldChar w:fldCharType="end"/>
      </w:r>
      <w:r>
        <w:rPr>
          <w:rFonts w:hint="default" w:ascii="Times New Roman" w:hAnsi="Times New Roman" w:eastAsia="楷体_GB2312" w:cs="Times New Roman"/>
          <w:szCs w:val="40"/>
          <w:lang w:val="zh-CN"/>
        </w:rPr>
        <w:fldChar w:fldCharType="end"/>
      </w:r>
    </w:p>
    <w:p w14:paraId="149F0EB0">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_Toc7770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第三节 </w:t>
      </w:r>
      <w:r>
        <w:rPr>
          <w:rFonts w:hint="default" w:ascii="Times New Roman" w:hAnsi="Times New Roman" w:cs="Times New Roman"/>
          <w:szCs w:val="32"/>
          <w:lang w:val="en-US"/>
        </w:rPr>
        <w:t>规划</w:t>
      </w:r>
      <w:r>
        <w:rPr>
          <w:rFonts w:hint="default" w:ascii="Times New Roman" w:hAnsi="Times New Roman" w:cs="Times New Roman"/>
          <w:szCs w:val="32"/>
        </w:rPr>
        <w:t>目标</w:t>
      </w:r>
      <w:r>
        <w:tab/>
      </w:r>
      <w:r>
        <w:fldChar w:fldCharType="begin"/>
      </w:r>
      <w:r>
        <w:instrText xml:space="preserve"> PAGEREF _Toc7770 \h </w:instrText>
      </w:r>
      <w:r>
        <w:fldChar w:fldCharType="separate"/>
      </w:r>
      <w:r>
        <w:t>12</w:t>
      </w:r>
      <w:r>
        <w:fldChar w:fldCharType="end"/>
      </w:r>
      <w:r>
        <w:rPr>
          <w:rFonts w:hint="default" w:ascii="Times New Roman" w:hAnsi="Times New Roman" w:eastAsia="楷体_GB2312" w:cs="Times New Roman"/>
          <w:szCs w:val="40"/>
          <w:lang w:val="zh-CN"/>
        </w:rPr>
        <w:fldChar w:fldCharType="end"/>
      </w:r>
    </w:p>
    <w:p w14:paraId="6DE234CD">
      <w:pPr>
        <w:pStyle w:val="20"/>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_Toc5872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6"/>
        </w:rPr>
        <w:t xml:space="preserve">第四章 </w:t>
      </w:r>
      <w:r>
        <w:rPr>
          <w:rFonts w:hint="default" w:ascii="Times New Roman" w:hAnsi="Times New Roman" w:cs="Times New Roman"/>
          <w:szCs w:val="36"/>
        </w:rPr>
        <w:t>主要任务</w:t>
      </w:r>
      <w:r>
        <w:tab/>
      </w:r>
      <w:r>
        <w:fldChar w:fldCharType="begin"/>
      </w:r>
      <w:r>
        <w:instrText xml:space="preserve"> PAGEREF _Toc5872 \h </w:instrText>
      </w:r>
      <w:r>
        <w:fldChar w:fldCharType="separate"/>
      </w:r>
      <w:r>
        <w:t>15</w:t>
      </w:r>
      <w:r>
        <w:fldChar w:fldCharType="end"/>
      </w:r>
      <w:r>
        <w:rPr>
          <w:rFonts w:hint="default" w:ascii="Times New Roman" w:hAnsi="Times New Roman" w:eastAsia="楷体_GB2312" w:cs="Times New Roman"/>
          <w:szCs w:val="40"/>
          <w:lang w:val="zh-CN"/>
        </w:rPr>
        <w:fldChar w:fldCharType="end"/>
      </w:r>
    </w:p>
    <w:p w14:paraId="016EC834">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_Toc928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第一节 </w:t>
      </w:r>
      <w:r>
        <w:rPr>
          <w:rFonts w:hint="default" w:ascii="Times New Roman" w:hAnsi="Times New Roman" w:cs="Times New Roman"/>
          <w:szCs w:val="32"/>
          <w:lang w:val="en-US"/>
        </w:rPr>
        <w:t>完善安全韧性的防洪减灾</w:t>
      </w:r>
      <w:r>
        <w:rPr>
          <w:rFonts w:hint="default" w:ascii="Times New Roman" w:hAnsi="Times New Roman" w:cs="Times New Roman"/>
          <w:szCs w:val="32"/>
        </w:rPr>
        <w:t>体系</w:t>
      </w:r>
      <w:r>
        <w:tab/>
      </w:r>
      <w:r>
        <w:fldChar w:fldCharType="begin"/>
      </w:r>
      <w:r>
        <w:instrText xml:space="preserve"> PAGEREF _Toc928 \h </w:instrText>
      </w:r>
      <w:r>
        <w:fldChar w:fldCharType="separate"/>
      </w:r>
      <w:r>
        <w:t>15</w:t>
      </w:r>
      <w:r>
        <w:fldChar w:fldCharType="end"/>
      </w:r>
      <w:r>
        <w:rPr>
          <w:rFonts w:hint="default" w:ascii="Times New Roman" w:hAnsi="Times New Roman" w:eastAsia="楷体_GB2312" w:cs="Times New Roman"/>
          <w:szCs w:val="40"/>
          <w:lang w:val="zh-CN"/>
        </w:rPr>
        <w:fldChar w:fldCharType="end"/>
      </w:r>
    </w:p>
    <w:p w14:paraId="1DC62642">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_Toc9957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第二节 </w:t>
      </w:r>
      <w:r>
        <w:rPr>
          <w:rFonts w:hint="default" w:ascii="Times New Roman" w:hAnsi="Times New Roman" w:cs="Times New Roman"/>
          <w:szCs w:val="32"/>
          <w:lang w:val="en-US"/>
        </w:rPr>
        <w:t>健全集约高效的水资源优化配置体系</w:t>
      </w:r>
      <w:r>
        <w:tab/>
      </w:r>
      <w:r>
        <w:fldChar w:fldCharType="begin"/>
      </w:r>
      <w:r>
        <w:instrText xml:space="preserve"> PAGEREF _Toc9957 \h </w:instrText>
      </w:r>
      <w:r>
        <w:fldChar w:fldCharType="separate"/>
      </w:r>
      <w:r>
        <w:t>18</w:t>
      </w:r>
      <w:r>
        <w:fldChar w:fldCharType="end"/>
      </w:r>
      <w:r>
        <w:rPr>
          <w:rFonts w:hint="default" w:ascii="Times New Roman" w:hAnsi="Times New Roman" w:eastAsia="楷体_GB2312" w:cs="Times New Roman"/>
          <w:szCs w:val="40"/>
          <w:lang w:val="zh-CN"/>
        </w:rPr>
        <w:fldChar w:fldCharType="end"/>
      </w:r>
    </w:p>
    <w:p w14:paraId="02A78ECB">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_Toc31495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第三节 </w:t>
      </w:r>
      <w:r>
        <w:rPr>
          <w:rFonts w:hint="default" w:ascii="Times New Roman" w:hAnsi="Times New Roman" w:cs="Times New Roman"/>
          <w:szCs w:val="32"/>
          <w:lang w:val="en-US"/>
        </w:rPr>
        <w:t>打造</w:t>
      </w:r>
      <w:r>
        <w:rPr>
          <w:rFonts w:hint="default" w:ascii="Times New Roman" w:hAnsi="Times New Roman" w:cs="Times New Roman"/>
          <w:szCs w:val="21"/>
        </w:rPr>
        <w:t>人水和谐</w:t>
      </w:r>
      <w:r>
        <w:rPr>
          <w:rFonts w:hint="default" w:ascii="Times New Roman" w:hAnsi="Times New Roman" w:cs="Times New Roman"/>
          <w:szCs w:val="32"/>
          <w:lang w:val="en-US"/>
        </w:rPr>
        <w:t>的</w:t>
      </w:r>
      <w:r>
        <w:rPr>
          <w:rFonts w:hint="default" w:ascii="Times New Roman" w:hAnsi="Times New Roman" w:cs="Times New Roman"/>
          <w:szCs w:val="32"/>
        </w:rPr>
        <w:t>河湖</w:t>
      </w:r>
      <w:r>
        <w:rPr>
          <w:rFonts w:hint="default" w:ascii="Times New Roman" w:hAnsi="Times New Roman" w:cs="Times New Roman"/>
          <w:szCs w:val="32"/>
          <w:lang w:val="en-US"/>
        </w:rPr>
        <w:t>保护</w:t>
      </w:r>
      <w:r>
        <w:rPr>
          <w:rFonts w:hint="default" w:ascii="Times New Roman" w:hAnsi="Times New Roman" w:cs="Times New Roman"/>
          <w:szCs w:val="32"/>
        </w:rPr>
        <w:t>治理体系</w:t>
      </w:r>
      <w:r>
        <w:tab/>
      </w:r>
      <w:r>
        <w:fldChar w:fldCharType="begin"/>
      </w:r>
      <w:r>
        <w:instrText xml:space="preserve"> PAGEREF _Toc31495 \h </w:instrText>
      </w:r>
      <w:r>
        <w:fldChar w:fldCharType="separate"/>
      </w:r>
      <w:r>
        <w:t>23</w:t>
      </w:r>
      <w:r>
        <w:fldChar w:fldCharType="end"/>
      </w:r>
      <w:r>
        <w:rPr>
          <w:rFonts w:hint="default" w:ascii="Times New Roman" w:hAnsi="Times New Roman" w:eastAsia="楷体_GB2312" w:cs="Times New Roman"/>
          <w:szCs w:val="40"/>
          <w:lang w:val="zh-CN"/>
        </w:rPr>
        <w:fldChar w:fldCharType="end"/>
      </w:r>
    </w:p>
    <w:p w14:paraId="11BCDAE0">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_Toc5892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第四节 </w:t>
      </w:r>
      <w:r>
        <w:rPr>
          <w:rFonts w:hint="default" w:ascii="Times New Roman" w:hAnsi="Times New Roman" w:cs="Times New Roman"/>
          <w:szCs w:val="32"/>
          <w:lang w:val="en-US"/>
        </w:rPr>
        <w:t>构建</w:t>
      </w:r>
      <w:r>
        <w:rPr>
          <w:rFonts w:hint="default" w:ascii="Times New Roman" w:hAnsi="Times New Roman" w:cs="Times New Roman"/>
          <w:szCs w:val="32"/>
        </w:rPr>
        <w:t>数智赋能</w:t>
      </w:r>
      <w:r>
        <w:rPr>
          <w:rFonts w:hint="default" w:ascii="Times New Roman" w:hAnsi="Times New Roman" w:cs="Times New Roman"/>
          <w:szCs w:val="32"/>
          <w:lang w:val="en-US"/>
        </w:rPr>
        <w:t>的</w:t>
      </w:r>
      <w:r>
        <w:rPr>
          <w:rFonts w:hint="default" w:ascii="Times New Roman" w:hAnsi="Times New Roman" w:cs="Times New Roman"/>
          <w:szCs w:val="32"/>
        </w:rPr>
        <w:t>数字孪生水利体系</w:t>
      </w:r>
      <w:r>
        <w:tab/>
      </w:r>
      <w:r>
        <w:fldChar w:fldCharType="begin"/>
      </w:r>
      <w:r>
        <w:instrText xml:space="preserve"> PAGEREF _Toc5892 \h </w:instrText>
      </w:r>
      <w:r>
        <w:fldChar w:fldCharType="separate"/>
      </w:r>
      <w:r>
        <w:t>27</w:t>
      </w:r>
      <w:r>
        <w:fldChar w:fldCharType="end"/>
      </w:r>
      <w:r>
        <w:rPr>
          <w:rFonts w:hint="default" w:ascii="Times New Roman" w:hAnsi="Times New Roman" w:eastAsia="楷体_GB2312" w:cs="Times New Roman"/>
          <w:szCs w:val="40"/>
          <w:lang w:val="zh-CN"/>
        </w:rPr>
        <w:fldChar w:fldCharType="end"/>
      </w:r>
    </w:p>
    <w:p w14:paraId="16486CD1">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_Toc17234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第五节 </w:t>
      </w:r>
      <w:r>
        <w:rPr>
          <w:rFonts w:hint="default" w:ascii="Times New Roman" w:hAnsi="Times New Roman" w:cs="Times New Roman"/>
          <w:szCs w:val="32"/>
          <w:lang w:val="en-US"/>
        </w:rPr>
        <w:t>健全现代高效的</w:t>
      </w:r>
      <w:r>
        <w:rPr>
          <w:rFonts w:hint="default" w:ascii="Times New Roman" w:hAnsi="Times New Roman" w:cs="Times New Roman"/>
          <w:szCs w:val="32"/>
        </w:rPr>
        <w:t>水利</w:t>
      </w:r>
      <w:r>
        <w:rPr>
          <w:rFonts w:hint="default" w:ascii="Times New Roman" w:hAnsi="Times New Roman" w:cs="Times New Roman"/>
          <w:szCs w:val="32"/>
          <w:lang w:val="en-US"/>
        </w:rPr>
        <w:t>治理</w:t>
      </w:r>
      <w:r>
        <w:rPr>
          <w:rFonts w:hint="default" w:ascii="Times New Roman" w:hAnsi="Times New Roman" w:cs="Times New Roman"/>
          <w:szCs w:val="32"/>
        </w:rPr>
        <w:t>管理</w:t>
      </w:r>
      <w:r>
        <w:rPr>
          <w:rFonts w:hint="default" w:ascii="Times New Roman" w:hAnsi="Times New Roman" w:cs="Times New Roman"/>
          <w:szCs w:val="32"/>
          <w:lang w:val="en-US"/>
        </w:rPr>
        <w:t>体系</w:t>
      </w:r>
      <w:r>
        <w:tab/>
      </w:r>
      <w:r>
        <w:fldChar w:fldCharType="begin"/>
      </w:r>
      <w:r>
        <w:instrText xml:space="preserve"> PAGEREF _Toc17234 \h </w:instrText>
      </w:r>
      <w:r>
        <w:fldChar w:fldCharType="separate"/>
      </w:r>
      <w:r>
        <w:t>30</w:t>
      </w:r>
      <w:r>
        <w:fldChar w:fldCharType="end"/>
      </w:r>
      <w:r>
        <w:rPr>
          <w:rFonts w:hint="default" w:ascii="Times New Roman" w:hAnsi="Times New Roman" w:eastAsia="楷体_GB2312" w:cs="Times New Roman"/>
          <w:szCs w:val="40"/>
          <w:lang w:val="zh-CN"/>
        </w:rPr>
        <w:fldChar w:fldCharType="end"/>
      </w:r>
    </w:p>
    <w:p w14:paraId="70D12D5E">
      <w:pPr>
        <w:pStyle w:val="20"/>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_Toc8521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6"/>
        </w:rPr>
        <w:t xml:space="preserve">第五章 </w:t>
      </w:r>
      <w:r>
        <w:rPr>
          <w:rFonts w:hint="default" w:ascii="Times New Roman" w:hAnsi="Times New Roman" w:cs="Times New Roman"/>
          <w:szCs w:val="36"/>
        </w:rPr>
        <w:t>环境影响评价</w:t>
      </w:r>
      <w:r>
        <w:tab/>
      </w:r>
      <w:r>
        <w:fldChar w:fldCharType="begin"/>
      </w:r>
      <w:r>
        <w:instrText xml:space="preserve"> PAGEREF _Toc8521 \h </w:instrText>
      </w:r>
      <w:r>
        <w:fldChar w:fldCharType="separate"/>
      </w:r>
      <w:r>
        <w:t>33</w:t>
      </w:r>
      <w:r>
        <w:fldChar w:fldCharType="end"/>
      </w:r>
      <w:r>
        <w:rPr>
          <w:rFonts w:hint="default" w:ascii="Times New Roman" w:hAnsi="Times New Roman" w:eastAsia="楷体_GB2312" w:cs="Times New Roman"/>
          <w:szCs w:val="40"/>
          <w:lang w:val="zh-CN"/>
        </w:rPr>
        <w:fldChar w:fldCharType="end"/>
      </w:r>
    </w:p>
    <w:p w14:paraId="1A45889D">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_Toc29619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rPr>
        <w:t xml:space="preserve">第一节 </w:t>
      </w:r>
      <w:r>
        <w:rPr>
          <w:rFonts w:hint="default" w:ascii="Times New Roman" w:hAnsi="Times New Roman" w:cs="Times New Roman"/>
          <w:szCs w:val="32"/>
          <w:lang w:val="en-US"/>
        </w:rPr>
        <w:t>主要环境影响分析</w:t>
      </w:r>
      <w:r>
        <w:tab/>
      </w:r>
      <w:r>
        <w:fldChar w:fldCharType="begin"/>
      </w:r>
      <w:r>
        <w:instrText xml:space="preserve"> PAGEREF _Toc29619 \h </w:instrText>
      </w:r>
      <w:r>
        <w:fldChar w:fldCharType="separate"/>
      </w:r>
      <w:r>
        <w:t>33</w:t>
      </w:r>
      <w:r>
        <w:fldChar w:fldCharType="end"/>
      </w:r>
      <w:r>
        <w:rPr>
          <w:rFonts w:hint="default" w:ascii="Times New Roman" w:hAnsi="Times New Roman" w:eastAsia="楷体_GB2312" w:cs="Times New Roman"/>
          <w:szCs w:val="40"/>
          <w:lang w:val="zh-CN"/>
        </w:rPr>
        <w:fldChar w:fldCharType="end"/>
      </w:r>
    </w:p>
    <w:p w14:paraId="6939F170">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_Toc14521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lang w:val="en-US"/>
        </w:rPr>
        <w:t xml:space="preserve">第二节 </w:t>
      </w:r>
      <w:r>
        <w:rPr>
          <w:rFonts w:hint="default" w:ascii="Times New Roman" w:hAnsi="Times New Roman" w:cs="Times New Roman"/>
          <w:szCs w:val="32"/>
          <w:lang w:val="en-US"/>
        </w:rPr>
        <w:t>环境影响减缓对策与保护措施</w:t>
      </w:r>
      <w:r>
        <w:tab/>
      </w:r>
      <w:r>
        <w:fldChar w:fldCharType="begin"/>
      </w:r>
      <w:r>
        <w:instrText xml:space="preserve"> PAGEREF _Toc14521 \h </w:instrText>
      </w:r>
      <w:r>
        <w:fldChar w:fldCharType="separate"/>
      </w:r>
      <w:r>
        <w:t>34</w:t>
      </w:r>
      <w:r>
        <w:fldChar w:fldCharType="end"/>
      </w:r>
      <w:r>
        <w:rPr>
          <w:rFonts w:hint="default" w:ascii="Times New Roman" w:hAnsi="Times New Roman" w:eastAsia="楷体_GB2312" w:cs="Times New Roman"/>
          <w:szCs w:val="40"/>
          <w:lang w:val="zh-CN"/>
        </w:rPr>
        <w:fldChar w:fldCharType="end"/>
      </w:r>
    </w:p>
    <w:p w14:paraId="3BCF76EE">
      <w:pPr>
        <w:pStyle w:val="20"/>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_Toc29002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6"/>
        </w:rPr>
        <w:t xml:space="preserve">第六章 </w:t>
      </w:r>
      <w:r>
        <w:rPr>
          <w:rFonts w:hint="default" w:ascii="Times New Roman" w:hAnsi="Times New Roman" w:cs="Times New Roman"/>
          <w:szCs w:val="36"/>
        </w:rPr>
        <w:t>保障措施</w:t>
      </w:r>
      <w:r>
        <w:tab/>
      </w:r>
      <w:r>
        <w:fldChar w:fldCharType="begin"/>
      </w:r>
      <w:r>
        <w:instrText xml:space="preserve"> PAGEREF _Toc29002 \h </w:instrText>
      </w:r>
      <w:r>
        <w:fldChar w:fldCharType="separate"/>
      </w:r>
      <w:r>
        <w:t>36</w:t>
      </w:r>
      <w:r>
        <w:fldChar w:fldCharType="end"/>
      </w:r>
      <w:r>
        <w:rPr>
          <w:rFonts w:hint="default" w:ascii="Times New Roman" w:hAnsi="Times New Roman" w:eastAsia="楷体_GB2312" w:cs="Times New Roman"/>
          <w:szCs w:val="40"/>
          <w:lang w:val="zh-CN"/>
        </w:rPr>
        <w:fldChar w:fldCharType="end"/>
      </w:r>
    </w:p>
    <w:p w14:paraId="54BBE0C4">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_Toc15197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lang w:val="en-US"/>
        </w:rPr>
        <w:t xml:space="preserve">第一节 </w:t>
      </w:r>
      <w:r>
        <w:rPr>
          <w:rFonts w:hint="default" w:ascii="Times New Roman" w:hAnsi="Times New Roman" w:cs="Times New Roman"/>
          <w:szCs w:val="32"/>
          <w:lang w:val="en-US"/>
        </w:rPr>
        <w:t>加强组织领导</w:t>
      </w:r>
      <w:r>
        <w:tab/>
      </w:r>
      <w:r>
        <w:fldChar w:fldCharType="begin"/>
      </w:r>
      <w:r>
        <w:instrText xml:space="preserve"> PAGEREF _Toc15197 \h </w:instrText>
      </w:r>
      <w:r>
        <w:fldChar w:fldCharType="separate"/>
      </w:r>
      <w:r>
        <w:t>36</w:t>
      </w:r>
      <w:r>
        <w:fldChar w:fldCharType="end"/>
      </w:r>
      <w:r>
        <w:rPr>
          <w:rFonts w:hint="default" w:ascii="Times New Roman" w:hAnsi="Times New Roman" w:eastAsia="楷体_GB2312" w:cs="Times New Roman"/>
          <w:szCs w:val="40"/>
          <w:lang w:val="zh-CN"/>
        </w:rPr>
        <w:fldChar w:fldCharType="end"/>
      </w:r>
    </w:p>
    <w:p w14:paraId="50A209EE">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_Toc8639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lang w:val="en-US"/>
        </w:rPr>
        <w:t xml:space="preserve">第二节 </w:t>
      </w:r>
      <w:r>
        <w:rPr>
          <w:rFonts w:hint="default" w:ascii="Times New Roman" w:hAnsi="Times New Roman" w:cs="Times New Roman"/>
          <w:szCs w:val="32"/>
          <w:lang w:val="en-US"/>
        </w:rPr>
        <w:t>落实目标责任</w:t>
      </w:r>
      <w:r>
        <w:tab/>
      </w:r>
      <w:r>
        <w:fldChar w:fldCharType="begin"/>
      </w:r>
      <w:r>
        <w:instrText xml:space="preserve"> PAGEREF _Toc8639 \h </w:instrText>
      </w:r>
      <w:r>
        <w:fldChar w:fldCharType="separate"/>
      </w:r>
      <w:r>
        <w:t>36</w:t>
      </w:r>
      <w:r>
        <w:fldChar w:fldCharType="end"/>
      </w:r>
      <w:r>
        <w:rPr>
          <w:rFonts w:hint="default" w:ascii="Times New Roman" w:hAnsi="Times New Roman" w:eastAsia="楷体_GB2312" w:cs="Times New Roman"/>
          <w:szCs w:val="40"/>
          <w:lang w:val="zh-CN"/>
        </w:rPr>
        <w:fldChar w:fldCharType="end"/>
      </w:r>
    </w:p>
    <w:p w14:paraId="25E7D3E6">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_Toc251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lang w:val="en-US"/>
        </w:rPr>
        <w:t xml:space="preserve">第三节 </w:t>
      </w:r>
      <w:r>
        <w:rPr>
          <w:rFonts w:hint="default" w:ascii="Times New Roman" w:hAnsi="Times New Roman" w:cs="Times New Roman"/>
          <w:szCs w:val="32"/>
          <w:lang w:val="en-US"/>
        </w:rPr>
        <w:t>深化前期工作</w:t>
      </w:r>
      <w:r>
        <w:tab/>
      </w:r>
      <w:r>
        <w:fldChar w:fldCharType="begin"/>
      </w:r>
      <w:r>
        <w:instrText xml:space="preserve"> PAGEREF _Toc251 \h </w:instrText>
      </w:r>
      <w:r>
        <w:fldChar w:fldCharType="separate"/>
      </w:r>
      <w:r>
        <w:t>37</w:t>
      </w:r>
      <w:r>
        <w:fldChar w:fldCharType="end"/>
      </w:r>
      <w:r>
        <w:rPr>
          <w:rFonts w:hint="default" w:ascii="Times New Roman" w:hAnsi="Times New Roman" w:eastAsia="楷体_GB2312" w:cs="Times New Roman"/>
          <w:szCs w:val="40"/>
          <w:lang w:val="zh-CN"/>
        </w:rPr>
        <w:fldChar w:fldCharType="end"/>
      </w:r>
    </w:p>
    <w:p w14:paraId="599045C9">
      <w:pPr>
        <w:pStyle w:val="22"/>
        <w:tabs>
          <w:tab w:val="right" w:leader="dot" w:pos="9070"/>
        </w:tabs>
      </w:pPr>
      <w:r>
        <w:rPr>
          <w:rFonts w:hint="default" w:ascii="Times New Roman" w:hAnsi="Times New Roman" w:eastAsia="楷体_GB2312" w:cs="Times New Roman"/>
          <w:szCs w:val="40"/>
          <w:lang w:val="zh-CN"/>
        </w:rPr>
        <w:fldChar w:fldCharType="begin"/>
      </w:r>
      <w:r>
        <w:rPr>
          <w:rFonts w:hint="default" w:ascii="Times New Roman" w:hAnsi="Times New Roman" w:eastAsia="楷体_GB2312" w:cs="Times New Roman"/>
          <w:szCs w:val="40"/>
          <w:lang w:val="zh-CN"/>
        </w:rPr>
        <w:instrText xml:space="preserve"> HYPERLINK \l _Toc19346 </w:instrText>
      </w:r>
      <w:r>
        <w:rPr>
          <w:rFonts w:hint="default" w:ascii="Times New Roman" w:hAnsi="Times New Roman" w:eastAsia="楷体_GB2312" w:cs="Times New Roman"/>
          <w:szCs w:val="40"/>
          <w:lang w:val="zh-CN"/>
        </w:rPr>
        <w:fldChar w:fldCharType="separate"/>
      </w:r>
      <w:r>
        <w:rPr>
          <w:rFonts w:hint="eastAsia" w:ascii="Times New Roman" w:hAnsi="Times New Roman" w:cs="Times New Roman"/>
          <w:szCs w:val="32"/>
          <w:lang w:val="en-US"/>
        </w:rPr>
        <w:t xml:space="preserve">第四节 </w:t>
      </w:r>
      <w:r>
        <w:rPr>
          <w:rFonts w:hint="default" w:ascii="Times New Roman" w:hAnsi="Times New Roman" w:cs="Times New Roman"/>
          <w:szCs w:val="32"/>
          <w:lang w:val="en-US"/>
        </w:rPr>
        <w:t>加强要素保障</w:t>
      </w:r>
      <w:r>
        <w:tab/>
      </w:r>
      <w:r>
        <w:fldChar w:fldCharType="begin"/>
      </w:r>
      <w:r>
        <w:instrText xml:space="preserve"> PAGEREF _Toc19346 \h </w:instrText>
      </w:r>
      <w:r>
        <w:fldChar w:fldCharType="separate"/>
      </w:r>
      <w:r>
        <w:t>37</w:t>
      </w:r>
      <w:r>
        <w:fldChar w:fldCharType="end"/>
      </w:r>
      <w:r>
        <w:rPr>
          <w:rFonts w:hint="default" w:ascii="Times New Roman" w:hAnsi="Times New Roman" w:eastAsia="楷体_GB2312" w:cs="Times New Roman"/>
          <w:szCs w:val="40"/>
          <w:lang w:val="zh-CN"/>
        </w:rPr>
        <w:fldChar w:fldCharType="end"/>
      </w:r>
    </w:p>
    <w:p w14:paraId="7C7357F3">
      <w:pPr>
        <w:spacing w:after="0"/>
        <w:rPr>
          <w:rFonts w:hint="default" w:ascii="Times New Roman" w:hAnsi="Times New Roman" w:eastAsia="黑体" w:cs="Times New Roman"/>
          <w:sz w:val="32"/>
          <w:szCs w:val="32"/>
          <w:lang w:val="zh-CN"/>
        </w:rPr>
      </w:pPr>
      <w:r>
        <w:rPr>
          <w:rFonts w:hint="default" w:ascii="Times New Roman" w:hAnsi="Times New Roman" w:eastAsia="楷体_GB2312" w:cs="Times New Roman"/>
          <w:szCs w:val="40"/>
          <w:lang w:val="zh-CN"/>
        </w:rPr>
        <w:fldChar w:fldCharType="end"/>
      </w:r>
    </w:p>
    <w:p w14:paraId="59D8ACB0">
      <w:pPr>
        <w:rPr>
          <w:rFonts w:hint="default" w:ascii="Times New Roman" w:hAnsi="Times New Roman" w:eastAsia="仿宋_GB2312" w:cs="Times New Roman"/>
          <w:sz w:val="32"/>
          <w:szCs w:val="32"/>
          <w:lang w:val="zh-CN"/>
        </w:rPr>
      </w:pPr>
    </w:p>
    <w:p w14:paraId="09E47CA2">
      <w:pPr>
        <w:spacing w:after="0" w:line="600" w:lineRule="exact"/>
        <w:ind w:firstLine="640" w:firstLineChars="200"/>
        <w:rPr>
          <w:rFonts w:hint="default" w:ascii="Times New Roman" w:hAnsi="Times New Roman" w:eastAsia="仿宋_GB2312" w:cs="Times New Roman"/>
          <w:sz w:val="32"/>
          <w:szCs w:val="32"/>
          <w:lang w:val="zh-CN"/>
        </w:rPr>
        <w:sectPr>
          <w:headerReference r:id="rId5" w:type="default"/>
          <w:footerReference r:id="rId6" w:type="default"/>
          <w:footerReference r:id="rId7" w:type="even"/>
          <w:pgSz w:w="11906" w:h="16838"/>
          <w:pgMar w:top="1616" w:right="1418" w:bottom="1616" w:left="1418" w:header="851" w:footer="1304" w:gutter="0"/>
          <w:cols w:space="720" w:num="1"/>
          <w:docGrid w:type="lines" w:linePitch="381" w:charSpace="0"/>
        </w:sectPr>
      </w:pPr>
    </w:p>
    <w:bookmarkEnd w:id="0"/>
    <w:bookmarkEnd w:id="13"/>
    <w:p w14:paraId="5F018F2E">
      <w:pPr>
        <w:pStyle w:val="2"/>
        <w:spacing w:after="340" w:line="600" w:lineRule="exact"/>
        <w:rPr>
          <w:rFonts w:hint="default" w:ascii="Times New Roman" w:hAnsi="Times New Roman" w:cs="Times New Roman"/>
          <w:sz w:val="36"/>
          <w:szCs w:val="36"/>
        </w:rPr>
      </w:pPr>
      <w:bookmarkStart w:id="16" w:name="_Toc14422"/>
      <w:bookmarkStart w:id="17" w:name="_Toc215129865"/>
      <w:bookmarkStart w:id="18" w:name="_Toc695076982"/>
      <w:bookmarkStart w:id="19" w:name="_Toc9191"/>
      <w:bookmarkStart w:id="20" w:name="_Toc13503"/>
      <w:bookmarkStart w:id="21" w:name="_Toc7910"/>
      <w:bookmarkStart w:id="22" w:name="_Toc13471"/>
      <w:bookmarkStart w:id="23" w:name="_Toc7524"/>
      <w:bookmarkStart w:id="24" w:name="_Toc19323"/>
      <w:bookmarkStart w:id="25" w:name="_Toc3613"/>
      <w:bookmarkStart w:id="26" w:name="_Toc20593"/>
      <w:bookmarkStart w:id="27" w:name="_Toc29568"/>
      <w:bookmarkStart w:id="28" w:name="_Toc25232"/>
      <w:bookmarkStart w:id="29" w:name="_Toc17226"/>
      <w:bookmarkStart w:id="30" w:name="_Toc17748"/>
      <w:r>
        <w:rPr>
          <w:rFonts w:hint="default" w:ascii="Times New Roman" w:hAnsi="Times New Roman" w:cs="Times New Roman"/>
          <w:sz w:val="36"/>
          <w:szCs w:val="36"/>
        </w:rPr>
        <w:t>“十四五”水利发展</w:t>
      </w:r>
      <w:bookmarkEnd w:id="16"/>
      <w:bookmarkEnd w:id="17"/>
      <w:bookmarkEnd w:id="18"/>
      <w:bookmarkEnd w:id="19"/>
      <w:r>
        <w:rPr>
          <w:rFonts w:hint="default" w:ascii="Times New Roman" w:hAnsi="Times New Roman" w:cs="Times New Roman"/>
          <w:sz w:val="36"/>
          <w:szCs w:val="36"/>
          <w:lang w:val="en-US"/>
        </w:rPr>
        <w:t>主要成效</w:t>
      </w:r>
      <w:bookmarkEnd w:id="20"/>
      <w:bookmarkEnd w:id="21"/>
      <w:bookmarkEnd w:id="22"/>
      <w:bookmarkEnd w:id="23"/>
      <w:bookmarkEnd w:id="24"/>
      <w:bookmarkEnd w:id="25"/>
      <w:bookmarkEnd w:id="26"/>
      <w:bookmarkEnd w:id="27"/>
      <w:bookmarkEnd w:id="28"/>
      <w:bookmarkEnd w:id="29"/>
      <w:bookmarkEnd w:id="30"/>
    </w:p>
    <w:p w14:paraId="2C6C75A8">
      <w:pPr>
        <w:spacing w:after="0" w:line="600" w:lineRule="exact"/>
        <w:ind w:firstLine="640" w:firstLineChars="200"/>
        <w:rPr>
          <w:rFonts w:hint="default" w:ascii="Times New Roman" w:hAnsi="Times New Roman" w:eastAsia="仿宋_GB2312" w:cs="Times New Roman"/>
          <w:sz w:val="32"/>
          <w:szCs w:val="32"/>
        </w:rPr>
      </w:pPr>
      <w:bookmarkStart w:id="31" w:name="_Hlk212109562"/>
      <w:bookmarkStart w:id="32" w:name="_Toc5889"/>
      <w:bookmarkStart w:id="33" w:name="_Toc1286271941"/>
      <w:bookmarkStart w:id="34" w:name="_Toc31046"/>
      <w:r>
        <w:rPr>
          <w:rFonts w:hint="default" w:ascii="Times New Roman" w:hAnsi="Times New Roman" w:eastAsia="仿宋_GB2312" w:cs="Times New Roman"/>
          <w:sz w:val="32"/>
          <w:szCs w:val="32"/>
        </w:rPr>
        <w:t>“十四五”时期，党中央、国务院高度重视水利工作，系统提出新时代治水新理念、新思想、新战略，为新时代水利高质量发展指明前进方向、提供根本遵循，具有里程碑意义。在国家、省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sz w:val="32"/>
          <w:szCs w:val="32"/>
        </w:rPr>
        <w:t>统一部署下，</w:t>
      </w:r>
      <w:r>
        <w:rPr>
          <w:rFonts w:hint="default" w:ascii="Times New Roman" w:hAnsi="Times New Roman" w:eastAsia="仿宋_GB2312" w:cs="Times New Roman"/>
          <w:sz w:val="32"/>
          <w:szCs w:val="32"/>
          <w:lang w:val="en-US" w:eastAsia="zh-CN"/>
        </w:rPr>
        <w:t>沙湾区</w:t>
      </w:r>
      <w:r>
        <w:rPr>
          <w:rFonts w:hint="default" w:ascii="Times New Roman" w:hAnsi="Times New Roman" w:eastAsia="仿宋_GB2312" w:cs="Times New Roman"/>
          <w:sz w:val="32"/>
          <w:szCs w:val="32"/>
        </w:rPr>
        <w:t>坚决贯彻落实上级决策部署，在</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委、</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政府坚强领导下，抢抓发展机遇、主动担当作为，统筹推进水利工程建设、管理与改革创新等各项工作，全</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水安全保障能力持续提升，圆满完成“十四五”既定目标任务，顺利落实上级水利部门下达的各项考核要求，水利改革发展取得阶段性显著成效。</w:t>
      </w:r>
    </w:p>
    <w:p w14:paraId="418CFB38">
      <w:pPr>
        <w:pStyle w:val="3"/>
        <w:spacing w:line="600" w:lineRule="exact"/>
        <w:rPr>
          <w:rFonts w:hint="default" w:ascii="Times New Roman" w:hAnsi="Times New Roman" w:cs="Times New Roman"/>
          <w:sz w:val="32"/>
          <w:szCs w:val="32"/>
        </w:rPr>
      </w:pPr>
      <w:bookmarkStart w:id="35" w:name="_Toc18352"/>
      <w:bookmarkStart w:id="36" w:name="_Toc13103"/>
      <w:bookmarkStart w:id="37" w:name="_Toc32236"/>
      <w:bookmarkStart w:id="38" w:name="_Toc11727"/>
      <w:bookmarkStart w:id="39" w:name="_Toc23881"/>
      <w:bookmarkStart w:id="40" w:name="_Toc27892"/>
      <w:bookmarkStart w:id="41" w:name="_Toc21830"/>
      <w:bookmarkStart w:id="42" w:name="_Toc18235"/>
      <w:bookmarkStart w:id="43" w:name="_Toc8185"/>
      <w:bookmarkStart w:id="44" w:name="_Toc16062"/>
      <w:r>
        <w:rPr>
          <w:rFonts w:hint="default" w:ascii="Times New Roman" w:hAnsi="Times New Roman" w:cs="Times New Roman"/>
          <w:sz w:val="32"/>
          <w:szCs w:val="32"/>
          <w:lang w:val="en-US"/>
        </w:rPr>
        <w:t>水旱灾害防御</w:t>
      </w:r>
      <w:r>
        <w:rPr>
          <w:rFonts w:hint="default" w:ascii="Times New Roman" w:hAnsi="Times New Roman" w:cs="Times New Roman"/>
          <w:sz w:val="32"/>
          <w:szCs w:val="32"/>
        </w:rPr>
        <w:t>能力</w:t>
      </w:r>
      <w:r>
        <w:rPr>
          <w:rFonts w:hint="default" w:ascii="Times New Roman" w:hAnsi="Times New Roman" w:cs="Times New Roman"/>
          <w:sz w:val="32"/>
          <w:szCs w:val="32"/>
          <w:lang w:val="en-US"/>
        </w:rPr>
        <w:t>稳步</w:t>
      </w:r>
      <w:r>
        <w:rPr>
          <w:rFonts w:hint="default" w:ascii="Times New Roman" w:hAnsi="Times New Roman" w:cs="Times New Roman"/>
          <w:sz w:val="32"/>
          <w:szCs w:val="32"/>
        </w:rPr>
        <w:t>提升</w:t>
      </w:r>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2EC57F10">
      <w:pPr>
        <w:spacing w:after="0" w:line="600" w:lineRule="exact"/>
        <w:ind w:firstLine="640" w:firstLineChars="200"/>
        <w:rPr>
          <w:rFonts w:hint="default" w:ascii="Times New Roman" w:hAnsi="Times New Roman" w:eastAsia="仿宋_GB2312" w:cs="Times New Roman"/>
          <w:color w:val="auto"/>
          <w:sz w:val="32"/>
          <w:szCs w:val="32"/>
        </w:rPr>
      </w:pPr>
      <w:bookmarkStart w:id="45" w:name="_Hlk216189993"/>
      <w:r>
        <w:rPr>
          <w:rFonts w:hint="default" w:ascii="Times New Roman" w:hAnsi="Times New Roman" w:eastAsia="仿宋_GB2312" w:cs="Times New Roman"/>
          <w:sz w:val="32"/>
          <w:szCs w:val="32"/>
        </w:rPr>
        <w:t>“十四五”期间，</w:t>
      </w:r>
      <w:r>
        <w:rPr>
          <w:rFonts w:hint="default" w:ascii="Times New Roman" w:hAnsi="Times New Roman" w:eastAsia="仿宋_GB2312" w:cs="Times New Roman"/>
          <w:sz w:val="32"/>
          <w:szCs w:val="32"/>
          <w:lang w:val="en-US" w:eastAsia="zh-CN"/>
        </w:rPr>
        <w:t>沙湾区</w:t>
      </w:r>
      <w:r>
        <w:rPr>
          <w:rFonts w:hint="default" w:ascii="Times New Roman" w:hAnsi="Times New Roman" w:eastAsia="仿宋_GB2312" w:cs="Times New Roman"/>
          <w:sz w:val="32"/>
          <w:szCs w:val="32"/>
        </w:rPr>
        <w:t>深入贯彻习近平总书记关于防灾减灾救灾重要论述，坚持“人民至上、生命至上”，践行“两个坚持、三个转变”理念，树牢底线思维、极限思维，</w:t>
      </w:r>
      <w:r>
        <w:rPr>
          <w:rFonts w:hint="default" w:ascii="Times New Roman" w:hAnsi="Times New Roman" w:eastAsia="仿宋_GB2312" w:cs="Times New Roman"/>
          <w:color w:val="auto"/>
          <w:sz w:val="32"/>
          <w:szCs w:val="32"/>
        </w:rPr>
        <w:t>基本建成堤防为基础、小型水库为骨干、山洪沟治理配套、工程与非工程措施协同的防洪减灾体系，全域水旱灾害防御能力明显提升。</w:t>
      </w:r>
      <w:r>
        <w:rPr>
          <w:rFonts w:hint="eastAsia" w:eastAsia="仿宋_GB2312" w:cs="Times New Roman"/>
          <w:color w:val="auto"/>
          <w:sz w:val="32"/>
          <w:szCs w:val="32"/>
          <w:lang w:val="en-US" w:eastAsia="zh-CN"/>
        </w:rPr>
        <w:t>5年</w:t>
      </w:r>
      <w:r>
        <w:rPr>
          <w:rFonts w:hint="default" w:ascii="Times New Roman" w:hAnsi="Times New Roman" w:eastAsia="仿宋_GB2312" w:cs="Times New Roman"/>
          <w:color w:val="auto"/>
          <w:sz w:val="32"/>
          <w:szCs w:val="32"/>
        </w:rPr>
        <w:t>连续实现人员零死亡、零失踪、零重伤 “三零” 目标；高效处置 2022 年极端高温干旱灾害，保障群众饮水安全。</w:t>
      </w:r>
    </w:p>
    <w:p w14:paraId="7F56CF20">
      <w:pPr>
        <w:pStyle w:val="183"/>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sz w:val="32"/>
          <w:szCs w:val="32"/>
        </w:rPr>
        <w:t>重点河流及中小河流治理成效显著</w:t>
      </w:r>
      <w:r>
        <w:rPr>
          <w:rFonts w:hint="eastAsia" w:eastAsia="楷体_GB2312" w:cs="Times New Roman"/>
          <w:sz w:val="32"/>
          <w:szCs w:val="32"/>
          <w:lang w:eastAsia="zh-CN"/>
        </w:rPr>
        <w:t>。</w:t>
      </w:r>
      <w:r>
        <w:rPr>
          <w:rFonts w:hint="eastAsia" w:ascii="Times New Roman" w:hAnsi="Times New Roman" w:eastAsia="仿宋_GB2312" w:cs="Times New Roman"/>
          <w:color w:val="auto"/>
          <w:kern w:val="2"/>
          <w:sz w:val="32"/>
          <w:szCs w:val="32"/>
          <w:lang w:val="en-US" w:eastAsia="zh-CN" w:bidi="ar-SA"/>
        </w:rPr>
        <w:t>沙湾区河流水系相对发达，沙湾区境内地形多种多样，小河流众多。大渡河在境内的集水面积为494平方公里（占沙湾区幅员面积的80.9%），其两岸支流大都源小流短。区内河流长度大于10公里的河流共3条，大渡河、沫溪河、余溪河，其集水面积大于100平方公里的河流有2条。</w:t>
      </w:r>
      <w:r>
        <w:rPr>
          <w:rFonts w:hint="default" w:ascii="Times New Roman" w:hAnsi="Times New Roman" w:eastAsia="仿宋_GB2312" w:cs="Times New Roman"/>
          <w:color w:val="auto"/>
          <w:kern w:val="2"/>
          <w:sz w:val="32"/>
          <w:szCs w:val="32"/>
          <w:lang w:val="en-US" w:eastAsia="zh-CN" w:bidi="ar-SA"/>
        </w:rPr>
        <w:t>“十四五” 集中实施大渡河左岸</w:t>
      </w:r>
      <w:r>
        <w:rPr>
          <w:rFonts w:hint="eastAsia" w:ascii="Times New Roman" w:hAnsi="Times New Roman" w:eastAsia="仿宋_GB2312" w:cs="Times New Roman"/>
          <w:color w:val="auto"/>
          <w:kern w:val="2"/>
          <w:sz w:val="32"/>
          <w:szCs w:val="32"/>
          <w:lang w:val="en-US" w:eastAsia="zh-CN" w:bidi="ar-SA"/>
        </w:rPr>
        <w:t>葫芦</w:t>
      </w:r>
      <w:r>
        <w:rPr>
          <w:rFonts w:hint="default" w:ascii="Times New Roman" w:hAnsi="Times New Roman" w:eastAsia="仿宋_GB2312" w:cs="Times New Roman"/>
          <w:color w:val="auto"/>
          <w:kern w:val="2"/>
          <w:sz w:val="32"/>
          <w:szCs w:val="32"/>
          <w:lang w:val="en-US" w:eastAsia="zh-CN" w:bidi="ar-SA"/>
        </w:rPr>
        <w:t>段、南广庙段</w:t>
      </w:r>
      <w:r>
        <w:rPr>
          <w:rFonts w:hint="eastAsia" w:ascii="Times New Roman" w:hAnsi="Times New Roman" w:eastAsia="仿宋_GB2312" w:cs="Times New Roman"/>
          <w:color w:val="auto"/>
          <w:kern w:val="2"/>
          <w:sz w:val="32"/>
          <w:szCs w:val="32"/>
          <w:lang w:val="en-US" w:eastAsia="zh-CN" w:bidi="ar-SA"/>
        </w:rPr>
        <w:t>防洪治理工程</w:t>
      </w:r>
      <w:r>
        <w:rPr>
          <w:rFonts w:hint="default" w:ascii="Times New Roman" w:hAnsi="Times New Roman" w:eastAsia="仿宋_GB2312" w:cs="Times New Roman"/>
          <w:color w:val="auto"/>
          <w:kern w:val="2"/>
          <w:sz w:val="32"/>
          <w:szCs w:val="32"/>
          <w:lang w:val="en-US" w:eastAsia="zh-CN" w:bidi="ar-SA"/>
        </w:rPr>
        <w:t xml:space="preserve">，同步推进沫溪河中小河流系统治理，全区累计新建、加固堤防护岸 </w:t>
      </w:r>
      <w:r>
        <w:rPr>
          <w:rFonts w:hint="eastAsia" w:ascii="Times New Roman" w:hAnsi="Times New Roman" w:eastAsia="仿宋_GB2312" w:cs="Times New Roman"/>
          <w:color w:val="auto"/>
          <w:kern w:val="2"/>
          <w:sz w:val="32"/>
          <w:szCs w:val="32"/>
          <w:lang w:val="en-US" w:eastAsia="zh-CN" w:bidi="ar-SA"/>
        </w:rPr>
        <w:t>9</w:t>
      </w:r>
      <w:r>
        <w:rPr>
          <w:rFonts w:hint="default" w:ascii="Times New Roman" w:hAnsi="Times New Roman" w:eastAsia="仿宋_GB2312" w:cs="Times New Roman"/>
          <w:color w:val="auto"/>
          <w:kern w:val="2"/>
          <w:sz w:val="32"/>
          <w:szCs w:val="32"/>
          <w:lang w:val="en-US" w:eastAsia="zh-CN" w:bidi="ar-SA"/>
        </w:rPr>
        <w:t>km，防洪闭合圈框架基本成型。</w:t>
      </w:r>
    </w:p>
    <w:p w14:paraId="650D1A80">
      <w:pPr>
        <w:spacing w:after="0" w:line="600" w:lineRule="exact"/>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sz w:val="32"/>
          <w:szCs w:val="32"/>
        </w:rPr>
        <w:t>山洪灾害治理成效突出。</w:t>
      </w:r>
      <w:r>
        <w:rPr>
          <w:rFonts w:hint="default" w:ascii="Times New Roman" w:hAnsi="Times New Roman" w:eastAsia="仿宋_GB2312" w:cs="Times New Roman"/>
          <w:color w:val="auto"/>
          <w:kern w:val="2"/>
          <w:sz w:val="32"/>
          <w:szCs w:val="32"/>
          <w:lang w:val="en-US" w:eastAsia="zh-CN" w:bidi="ar-SA"/>
        </w:rPr>
        <w:t>完成</w:t>
      </w:r>
      <w:r>
        <w:rPr>
          <w:rFonts w:hint="eastAsia" w:ascii="Times New Roman" w:hAnsi="Times New Roman" w:eastAsia="仿宋_GB2312" w:cs="Times New Roman"/>
          <w:color w:val="auto"/>
          <w:kern w:val="2"/>
          <w:sz w:val="32"/>
          <w:szCs w:val="32"/>
          <w:lang w:val="en-US" w:eastAsia="zh-CN" w:bidi="ar-SA"/>
        </w:rPr>
        <w:t>杨沟</w:t>
      </w:r>
      <w:r>
        <w:rPr>
          <w:rFonts w:hint="default" w:ascii="Times New Roman" w:hAnsi="Times New Roman" w:eastAsia="仿宋_GB2312" w:cs="Times New Roman"/>
          <w:color w:val="auto"/>
          <w:kern w:val="2"/>
          <w:sz w:val="32"/>
          <w:szCs w:val="32"/>
          <w:lang w:val="en-US" w:eastAsia="zh-CN" w:bidi="ar-SA"/>
        </w:rPr>
        <w:t>、丙强沟、牛石溪沟</w:t>
      </w:r>
      <w:r>
        <w:rPr>
          <w:rFonts w:hint="eastAsia" w:ascii="Times New Roman" w:hAnsi="Times New Roman" w:eastAsia="仿宋_GB2312" w:cs="Times New Roman"/>
          <w:color w:val="auto"/>
          <w:kern w:val="2"/>
          <w:sz w:val="32"/>
          <w:szCs w:val="32"/>
          <w:lang w:val="en-US" w:eastAsia="zh-CN" w:bidi="ar-SA"/>
        </w:rPr>
        <w:t>（大溪沟）</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甘溪沟、六井沟（余溪河）</w:t>
      </w:r>
      <w:r>
        <w:rPr>
          <w:rFonts w:hint="default" w:ascii="Times New Roman" w:hAnsi="Times New Roman" w:eastAsia="仿宋_GB2312" w:cs="Times New Roman"/>
          <w:color w:val="auto"/>
          <w:kern w:val="2"/>
          <w:sz w:val="32"/>
          <w:szCs w:val="32"/>
          <w:lang w:val="en-US" w:eastAsia="zh-CN" w:bidi="ar-SA"/>
        </w:rPr>
        <w:t>等重点山洪沟治理，全域山洪灾害抵御能力大幅提升，五年内无山洪致人伤亡事件。</w:t>
      </w:r>
    </w:p>
    <w:p w14:paraId="26E19FB6">
      <w:pPr>
        <w:spacing w:after="0" w:line="600" w:lineRule="exact"/>
        <w:ind w:firstLine="640" w:firstLineChars="200"/>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楷体_GB2312" w:cs="Times New Roman"/>
          <w:sz w:val="32"/>
          <w:szCs w:val="32"/>
        </w:rPr>
        <w:t>病险水库除险加固有序实施。</w:t>
      </w:r>
      <w:r>
        <w:rPr>
          <w:rFonts w:hint="default" w:ascii="Times New Roman" w:hAnsi="Times New Roman" w:eastAsia="仿宋_GB2312" w:cs="Times New Roman"/>
          <w:color w:val="auto"/>
          <w:kern w:val="2"/>
          <w:sz w:val="32"/>
          <w:szCs w:val="32"/>
          <w:lang w:val="en-US" w:eastAsia="zh-CN" w:bidi="ar-SA"/>
        </w:rPr>
        <w:t>完成红阳病险水库除险加固；完成</w:t>
      </w:r>
      <w:r>
        <w:rPr>
          <w:rFonts w:hint="eastAsia" w:ascii="Times New Roman" w:hAnsi="Times New Roman" w:eastAsia="仿宋_GB2312" w:cs="Times New Roman"/>
          <w:color w:val="auto"/>
          <w:kern w:val="2"/>
          <w:sz w:val="32"/>
          <w:szCs w:val="32"/>
          <w:lang w:val="en-US" w:eastAsia="zh-CN" w:bidi="ar-SA"/>
        </w:rPr>
        <w:t>红阳</w:t>
      </w:r>
      <w:r>
        <w:rPr>
          <w:rFonts w:hint="default" w:ascii="Times New Roman" w:hAnsi="Times New Roman" w:eastAsia="仿宋_GB2312" w:cs="Times New Roman"/>
          <w:color w:val="auto"/>
          <w:kern w:val="2"/>
          <w:sz w:val="32"/>
          <w:szCs w:val="32"/>
          <w:lang w:val="en-US" w:eastAsia="zh-CN" w:bidi="ar-SA"/>
        </w:rPr>
        <w:t>水库白蚁</w:t>
      </w:r>
      <w:r>
        <w:rPr>
          <w:rFonts w:hint="eastAsia" w:ascii="Times New Roman" w:hAnsi="Times New Roman" w:eastAsia="仿宋_GB2312" w:cs="Times New Roman"/>
          <w:color w:val="auto"/>
          <w:kern w:val="2"/>
          <w:sz w:val="32"/>
          <w:szCs w:val="32"/>
          <w:lang w:val="en-US" w:eastAsia="zh-CN" w:bidi="ar-SA"/>
        </w:rPr>
        <w:t>普查工作</w:t>
      </w:r>
      <w:r>
        <w:rPr>
          <w:rFonts w:hint="default" w:ascii="Times New Roman" w:hAnsi="Times New Roman" w:eastAsia="仿宋_GB2312" w:cs="Times New Roman"/>
          <w:color w:val="auto"/>
          <w:kern w:val="2"/>
          <w:sz w:val="32"/>
          <w:szCs w:val="32"/>
          <w:lang w:val="en-US" w:eastAsia="zh-CN" w:bidi="ar-SA"/>
        </w:rPr>
        <w:t>，消除水库运行安全隐患。</w:t>
      </w:r>
    </w:p>
    <w:p w14:paraId="7FFAC679">
      <w:pPr>
        <w:spacing w:after="0"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sz w:val="32"/>
          <w:szCs w:val="32"/>
        </w:rPr>
        <w:t>监测预警基础持续夯实。</w:t>
      </w:r>
      <w:r>
        <w:rPr>
          <w:rFonts w:hint="default" w:ascii="Times New Roman" w:hAnsi="Times New Roman" w:eastAsia="仿宋_GB2312" w:cs="Times New Roman"/>
          <w:sz w:val="32"/>
          <w:szCs w:val="32"/>
        </w:rPr>
        <w:t>依托乐山市全域测雨雷达组网，</w:t>
      </w:r>
      <w:r>
        <w:rPr>
          <w:rFonts w:hint="default" w:ascii="Times New Roman" w:hAnsi="Times New Roman" w:eastAsia="仿宋_GB2312" w:cs="Times New Roman"/>
          <w:color w:val="auto"/>
          <w:sz w:val="32"/>
          <w:szCs w:val="32"/>
        </w:rPr>
        <w:t>共享 1 部覆盖沙湾全域测雨雷达，可精准捕捉辖区 2km 范围内暴雨云团，提升短临山洪预警能力。依托山洪监测提质项目，建成自动水雨情监测站点 25个、简易雨量站 82个、</w:t>
      </w:r>
      <w:r>
        <w:rPr>
          <w:rFonts w:hint="eastAsia" w:ascii="Times New Roman" w:hAnsi="Times New Roman" w:eastAsia="仿宋_GB2312" w:cs="Times New Roman"/>
          <w:color w:val="auto"/>
          <w:sz w:val="32"/>
          <w:szCs w:val="32"/>
          <w:lang w:val="en-US" w:eastAsia="zh-CN"/>
        </w:rPr>
        <w:t>村村通大喇叭</w:t>
      </w:r>
      <w:r>
        <w:rPr>
          <w:rFonts w:hint="default" w:ascii="Times New Roman" w:hAnsi="Times New Roman" w:eastAsia="仿宋_GB2312" w:cs="Times New Roman"/>
          <w:color w:val="auto"/>
          <w:sz w:val="32"/>
          <w:szCs w:val="32"/>
        </w:rPr>
        <w:t>92套、河道视频监控9处，实现区、镇两级防汛视频异地会商、远程调度。</w:t>
      </w:r>
    </w:p>
    <w:p w14:paraId="797ADB04">
      <w:pPr>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水旱防御制度体系不断完善。</w:t>
      </w:r>
      <w:r>
        <w:rPr>
          <w:rFonts w:hint="default" w:ascii="Times New Roman" w:hAnsi="Times New Roman" w:eastAsia="仿宋_GB2312" w:cs="Times New Roman"/>
          <w:sz w:val="32"/>
          <w:szCs w:val="32"/>
        </w:rPr>
        <w:t>出台《沙湾区防汛抗旱指挥部办公室工作规则》《沙湾区汛期联合值守工作机制》《沙湾区预报预警传递反馈机制》，修订《沙湾区防汛抗旱应急预案》《沙湾区水务局水旱灾害处置预案》，规范全区防汛值班、预警、处置全流程管理。</w:t>
      </w:r>
    </w:p>
    <w:bookmarkEnd w:id="45"/>
    <w:p w14:paraId="45194C11">
      <w:pPr>
        <w:pStyle w:val="3"/>
        <w:spacing w:line="600" w:lineRule="exact"/>
        <w:rPr>
          <w:rFonts w:hint="default" w:ascii="Times New Roman" w:hAnsi="Times New Roman" w:cs="Times New Roman"/>
          <w:sz w:val="32"/>
          <w:szCs w:val="32"/>
        </w:rPr>
      </w:pPr>
      <w:bookmarkStart w:id="46" w:name="_Toc24126"/>
      <w:bookmarkStart w:id="47" w:name="_Toc32763"/>
      <w:bookmarkStart w:id="48" w:name="_Toc18442"/>
      <w:bookmarkStart w:id="49" w:name="_Toc21880"/>
      <w:bookmarkStart w:id="50" w:name="_Toc6057"/>
      <w:bookmarkStart w:id="51" w:name="_Toc20863"/>
      <w:bookmarkStart w:id="52" w:name="_Toc2977"/>
      <w:bookmarkStart w:id="53" w:name="_Toc26699"/>
      <w:bookmarkStart w:id="54" w:name="_Toc2138"/>
      <w:bookmarkStart w:id="55" w:name="_Toc16271"/>
      <w:bookmarkStart w:id="56" w:name="_Toc12169"/>
      <w:r>
        <w:rPr>
          <w:rFonts w:hint="default" w:ascii="Times New Roman" w:hAnsi="Times New Roman" w:cs="Times New Roman"/>
          <w:sz w:val="32"/>
          <w:szCs w:val="32"/>
        </w:rPr>
        <w:t>供水安全保障能力</w:t>
      </w:r>
      <w:bookmarkEnd w:id="46"/>
      <w:bookmarkEnd w:id="47"/>
      <w:bookmarkEnd w:id="48"/>
      <w:bookmarkEnd w:id="49"/>
      <w:bookmarkEnd w:id="50"/>
      <w:r>
        <w:rPr>
          <w:rFonts w:hint="default" w:ascii="Times New Roman" w:hAnsi="Times New Roman" w:cs="Times New Roman"/>
          <w:sz w:val="32"/>
          <w:szCs w:val="32"/>
          <w:lang w:val="en-US"/>
        </w:rPr>
        <w:t>持续增强</w:t>
      </w:r>
      <w:bookmarkEnd w:id="51"/>
      <w:bookmarkEnd w:id="52"/>
      <w:bookmarkEnd w:id="53"/>
      <w:bookmarkEnd w:id="54"/>
      <w:bookmarkEnd w:id="55"/>
      <w:bookmarkEnd w:id="56"/>
    </w:p>
    <w:p w14:paraId="10277F5D">
      <w:pPr>
        <w:widowControl w:val="0"/>
        <w:spacing w:after="0" w:line="60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bookmarkStart w:id="57" w:name="_Hlk216189928"/>
      <w:r>
        <w:rPr>
          <w:rFonts w:hint="default" w:ascii="Times New Roman" w:hAnsi="Times New Roman" w:eastAsia="楷体_GB2312" w:cs="Times New Roman"/>
          <w:kern w:val="2"/>
          <w:sz w:val="32"/>
          <w:szCs w:val="32"/>
          <w:lang w:val="en-US" w:eastAsia="zh-CN" w:bidi="ar-SA"/>
        </w:rPr>
        <w:t>水资源刚性约束落地见效。</w:t>
      </w:r>
      <w:r>
        <w:rPr>
          <w:rFonts w:hint="default" w:ascii="Times New Roman" w:hAnsi="Times New Roman" w:eastAsia="仿宋_GB2312" w:cs="Times New Roman"/>
          <w:kern w:val="2"/>
          <w:sz w:val="32"/>
          <w:szCs w:val="32"/>
          <w:lang w:val="en-US" w:eastAsia="zh-CN" w:bidi="ar-SA"/>
        </w:rPr>
        <w:t>严格落实区级用水总量、用水强度双控考核，规范取水许可与用水计划审批，节水评价作为项目前置要件，严控高耗水项目落</w:t>
      </w:r>
      <w:r>
        <w:rPr>
          <w:rFonts w:hint="default" w:ascii="Times New Roman" w:hAnsi="Times New Roman" w:eastAsia="仿宋_GB2312" w:cs="Times New Roman"/>
          <w:color w:val="auto"/>
          <w:kern w:val="2"/>
          <w:sz w:val="32"/>
          <w:szCs w:val="32"/>
          <w:lang w:val="en-US" w:eastAsia="zh-CN" w:bidi="ar-SA"/>
        </w:rPr>
        <w:t>地。沙湾区顺利完成县域节水型社会达标建设。“十四五” 全区用水总量稳定控制在</w:t>
      </w:r>
      <w:r>
        <w:rPr>
          <w:rFonts w:hint="eastAsia" w:eastAsia="仿宋_GB2312" w:cs="Times New Roman"/>
          <w:color w:val="auto"/>
          <w:kern w:val="2"/>
          <w:sz w:val="32"/>
          <w:szCs w:val="32"/>
          <w:lang w:val="en-US" w:eastAsia="zh-CN" w:bidi="ar-SA"/>
        </w:rPr>
        <w:t>0.83</w:t>
      </w:r>
      <w:r>
        <w:rPr>
          <w:rFonts w:hint="default" w:ascii="Times New Roman" w:hAnsi="Times New Roman" w:eastAsia="仿宋_GB2312" w:cs="Times New Roman"/>
          <w:color w:val="auto"/>
          <w:kern w:val="2"/>
          <w:sz w:val="32"/>
          <w:szCs w:val="32"/>
          <w:lang w:val="en-US" w:eastAsia="zh-CN" w:bidi="ar-SA"/>
        </w:rPr>
        <w:t xml:space="preserve"> 亿 m³ 以内</w:t>
      </w:r>
      <w:r>
        <w:rPr>
          <w:rFonts w:hint="eastAsia"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全区灌溉水有效利用系数提升至 0.52</w:t>
      </w:r>
      <w:r>
        <w:rPr>
          <w:rFonts w:hint="eastAsia"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w:t>
      </w:r>
    </w:p>
    <w:p w14:paraId="469CDF00">
      <w:pPr>
        <w:widowControl w:val="0"/>
        <w:spacing w:after="0" w:line="600" w:lineRule="exact"/>
        <w:ind w:leftChars="0"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城乡一体化供水提质增效。</w:t>
      </w:r>
      <w:r>
        <w:rPr>
          <w:rFonts w:hint="default" w:ascii="Times New Roman" w:hAnsi="Times New Roman" w:eastAsia="仿宋_GB2312" w:cs="Times New Roman"/>
          <w:kern w:val="2"/>
          <w:sz w:val="32"/>
          <w:szCs w:val="32"/>
          <w:lang w:val="en-US" w:eastAsia="zh-CN" w:bidi="ar-SA"/>
        </w:rPr>
        <w:t>实施</w:t>
      </w:r>
      <w:r>
        <w:rPr>
          <w:rFonts w:hint="eastAsia" w:ascii="Times New Roman" w:hAnsi="Times New Roman" w:eastAsia="仿宋_GB2312" w:cs="Times New Roman"/>
          <w:kern w:val="2"/>
          <w:sz w:val="32"/>
          <w:szCs w:val="32"/>
          <w:lang w:val="en-US" w:eastAsia="zh-CN" w:bidi="ar-SA"/>
        </w:rPr>
        <w:t>城乡供水一体化项目、智慧水务项目、城市供水管网改造项目，不断增强城乡供水水平，不断提升水质和水量</w:t>
      </w:r>
      <w:r>
        <w:rPr>
          <w:rFonts w:hint="default" w:ascii="Times New Roman" w:hAnsi="Times New Roman" w:eastAsia="仿宋_GB2312" w:cs="Times New Roman"/>
          <w:color w:val="auto"/>
          <w:kern w:val="2"/>
          <w:sz w:val="32"/>
          <w:szCs w:val="32"/>
          <w:lang w:val="en-US" w:eastAsia="zh-CN" w:bidi="ar-SA"/>
        </w:rPr>
        <w:t>；2025 年全区农村自来水普及率 9</w:t>
      </w:r>
      <w:r>
        <w:rPr>
          <w:rFonts w:hint="eastAsia" w:ascii="Times New Roman" w:hAnsi="Times New Roman" w:eastAsia="仿宋_GB2312" w:cs="Times New Roman"/>
          <w:color w:val="auto"/>
          <w:kern w:val="2"/>
          <w:sz w:val="32"/>
          <w:szCs w:val="32"/>
          <w:lang w:val="en-US" w:eastAsia="zh-CN" w:bidi="ar-SA"/>
        </w:rPr>
        <w:t>3.36</w:t>
      </w:r>
      <w:r>
        <w:rPr>
          <w:rFonts w:hint="default" w:ascii="Times New Roman" w:hAnsi="Times New Roman" w:eastAsia="仿宋_GB2312" w:cs="Times New Roman"/>
          <w:color w:val="auto"/>
          <w:kern w:val="2"/>
          <w:sz w:val="32"/>
          <w:szCs w:val="32"/>
          <w:lang w:val="en-US" w:eastAsia="zh-CN" w:bidi="ar-SA"/>
        </w:rPr>
        <w:t xml:space="preserve">%、规模化供水率 </w:t>
      </w:r>
      <w:r>
        <w:rPr>
          <w:rFonts w:hint="eastAsia" w:eastAsia="仿宋_GB2312" w:cs="Times New Roman"/>
          <w:color w:val="auto"/>
          <w:kern w:val="2"/>
          <w:sz w:val="32"/>
          <w:szCs w:val="32"/>
          <w:lang w:val="en-US" w:eastAsia="zh-CN" w:bidi="ar-SA"/>
        </w:rPr>
        <w:t>64</w:t>
      </w: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55</w:t>
      </w:r>
      <w:r>
        <w:rPr>
          <w:rFonts w:hint="default" w:ascii="Times New Roman" w:hAnsi="Times New Roman" w:eastAsia="仿宋_GB2312" w:cs="Times New Roman"/>
          <w:color w:val="auto"/>
          <w:kern w:val="2"/>
          <w:sz w:val="32"/>
          <w:szCs w:val="32"/>
          <w:lang w:val="en-US" w:eastAsia="zh-CN" w:bidi="ar-SA"/>
        </w:rPr>
        <w:t>%。</w:t>
      </w:r>
    </w:p>
    <w:bookmarkEnd w:id="57"/>
    <w:p w14:paraId="51F67C5F">
      <w:pPr>
        <w:pStyle w:val="3"/>
        <w:spacing w:line="600" w:lineRule="exact"/>
        <w:rPr>
          <w:rFonts w:hint="default" w:ascii="Times New Roman" w:hAnsi="Times New Roman" w:cs="Times New Roman"/>
          <w:sz w:val="32"/>
          <w:szCs w:val="32"/>
        </w:rPr>
      </w:pPr>
      <w:bookmarkStart w:id="58" w:name="_Toc217984349"/>
      <w:bookmarkEnd w:id="58"/>
      <w:bookmarkStart w:id="59" w:name="_Toc1287"/>
      <w:bookmarkStart w:id="60" w:name="_Toc24661"/>
      <w:bookmarkStart w:id="61" w:name="_Toc17517"/>
      <w:bookmarkStart w:id="62" w:name="_Toc28558"/>
      <w:bookmarkStart w:id="63" w:name="_Toc20927"/>
      <w:bookmarkStart w:id="64" w:name="_Toc16799"/>
      <w:bookmarkStart w:id="65" w:name="_Toc26366"/>
      <w:bookmarkStart w:id="66" w:name="_Toc872"/>
      <w:bookmarkStart w:id="67" w:name="_Toc1760"/>
      <w:bookmarkStart w:id="68" w:name="_Toc31178"/>
      <w:bookmarkStart w:id="69" w:name="_Toc31907"/>
      <w:r>
        <w:rPr>
          <w:rFonts w:hint="default" w:ascii="Times New Roman" w:hAnsi="Times New Roman" w:cs="Times New Roman"/>
          <w:sz w:val="32"/>
          <w:szCs w:val="32"/>
          <w:lang w:val="en-US"/>
        </w:rPr>
        <w:t>河湖生态环境面貌持续改善</w:t>
      </w:r>
      <w:bookmarkEnd w:id="59"/>
      <w:bookmarkEnd w:id="60"/>
      <w:bookmarkEnd w:id="61"/>
      <w:bookmarkEnd w:id="62"/>
      <w:bookmarkEnd w:id="63"/>
      <w:bookmarkEnd w:id="64"/>
      <w:bookmarkEnd w:id="65"/>
      <w:bookmarkEnd w:id="66"/>
      <w:bookmarkEnd w:id="67"/>
      <w:bookmarkEnd w:id="68"/>
      <w:bookmarkEnd w:id="69"/>
      <w:bookmarkStart w:id="70" w:name="_Toc147127298"/>
      <w:bookmarkStart w:id="71" w:name="_Toc15214"/>
    </w:p>
    <w:p w14:paraId="7E5BC9B3">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水环境质量稳定优良。</w:t>
      </w:r>
      <w:r>
        <w:rPr>
          <w:rFonts w:hint="default" w:ascii="Times New Roman" w:hAnsi="Times New Roman" w:eastAsia="仿宋_GB2312" w:cs="Times New Roman"/>
          <w:kern w:val="2"/>
          <w:sz w:val="32"/>
          <w:szCs w:val="32"/>
          <w:lang w:val="en-US" w:eastAsia="zh-CN" w:bidi="ar-SA"/>
        </w:rPr>
        <w:t xml:space="preserve">2025 年全区 </w:t>
      </w: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 xml:space="preserve"> 条区控、2 条市控河流断面水质达标率 100%；区级集中式饮用水水源地水质全年达标，群众饮水安全全面保障。</w:t>
      </w:r>
    </w:p>
    <w:p w14:paraId="4735F57E">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水土流失治理完成目标。</w:t>
      </w:r>
      <w:r>
        <w:rPr>
          <w:rFonts w:hint="default" w:ascii="Times New Roman" w:hAnsi="Times New Roman" w:eastAsia="仿宋_GB2312" w:cs="Times New Roman"/>
          <w:color w:val="auto"/>
          <w:kern w:val="2"/>
          <w:sz w:val="32"/>
          <w:szCs w:val="32"/>
          <w:lang w:val="en-US" w:eastAsia="zh-CN" w:bidi="ar-SA"/>
        </w:rPr>
        <w:t xml:space="preserve">“十四五” 累计完成水土流失综合治理 </w:t>
      </w:r>
      <w:r>
        <w:rPr>
          <w:rFonts w:hint="eastAsia" w:ascii="Times New Roman" w:hAnsi="Times New Roman" w:eastAsia="仿宋_GB2312" w:cs="Times New Roman"/>
          <w:color w:val="auto"/>
          <w:kern w:val="2"/>
          <w:sz w:val="32"/>
          <w:szCs w:val="32"/>
          <w:lang w:val="en-US" w:eastAsia="zh-CN" w:bidi="ar-SA"/>
        </w:rPr>
        <w:t>超60</w:t>
      </w:r>
      <w:r>
        <w:rPr>
          <w:rFonts w:hint="default" w:ascii="Times New Roman" w:hAnsi="Times New Roman" w:eastAsia="仿宋_GB2312" w:cs="Times New Roman"/>
          <w:color w:val="auto"/>
          <w:kern w:val="2"/>
          <w:sz w:val="32"/>
          <w:szCs w:val="32"/>
          <w:lang w:val="en-US" w:eastAsia="zh-CN" w:bidi="ar-SA"/>
        </w:rPr>
        <w:t>km²，</w:t>
      </w:r>
      <w:r>
        <w:rPr>
          <w:rFonts w:hint="default" w:ascii="Times New Roman" w:hAnsi="Times New Roman" w:eastAsia="仿宋_GB2312" w:cs="Times New Roman"/>
          <w:kern w:val="2"/>
          <w:sz w:val="32"/>
          <w:szCs w:val="32"/>
          <w:lang w:val="en-US" w:eastAsia="zh-CN" w:bidi="ar-SA"/>
        </w:rPr>
        <w:t>全面完成市级下达任务。</w:t>
      </w:r>
      <w:r>
        <w:rPr>
          <w:rFonts w:hint="eastAsia" w:ascii="Times New Roman" w:hAnsi="Times New Roman" w:eastAsia="仿宋_GB2312" w:cs="Times New Roman"/>
          <w:kern w:val="2"/>
          <w:sz w:val="32"/>
          <w:szCs w:val="32"/>
          <w:lang w:val="en-US" w:eastAsia="zh-CN" w:bidi="ar-SA"/>
        </w:rPr>
        <w:t>储备</w:t>
      </w:r>
      <w:r>
        <w:rPr>
          <w:rFonts w:hint="default" w:ascii="Times New Roman" w:hAnsi="Times New Roman" w:eastAsia="仿宋_GB2312" w:cs="Times New Roman"/>
          <w:kern w:val="2"/>
          <w:sz w:val="32"/>
          <w:szCs w:val="32"/>
          <w:lang w:val="en-US" w:eastAsia="zh-CN" w:bidi="ar-SA"/>
        </w:rPr>
        <w:t>管山河小流域综合治理项</w:t>
      </w:r>
      <w:r>
        <w:rPr>
          <w:rFonts w:hint="default" w:ascii="Times New Roman" w:hAnsi="Times New Roman" w:eastAsia="仿宋_GB2312" w:cs="Times New Roman"/>
          <w:color w:val="auto"/>
          <w:kern w:val="2"/>
          <w:sz w:val="32"/>
          <w:szCs w:val="32"/>
          <w:lang w:val="en-US" w:eastAsia="zh-CN" w:bidi="ar-SA"/>
        </w:rPr>
        <w:t xml:space="preserve">目；2025 年全区水土保持率提升至 </w:t>
      </w:r>
      <w:r>
        <w:rPr>
          <w:rFonts w:hint="eastAsia" w:eastAsia="仿宋_GB2312" w:cs="Times New Roman"/>
          <w:color w:val="auto"/>
          <w:kern w:val="2"/>
          <w:sz w:val="32"/>
          <w:szCs w:val="32"/>
          <w:lang w:val="en-US" w:eastAsia="zh-CN" w:bidi="ar-SA"/>
        </w:rPr>
        <w:t>66.45</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实现水土流失面积、侵蚀强度 “双下降”。</w:t>
      </w:r>
    </w:p>
    <w:p w14:paraId="5E872915">
      <w:pPr>
        <w:widowControl w:val="0"/>
        <w:spacing w:after="0" w:line="600" w:lineRule="exact"/>
        <w:ind w:left="0" w:leftChars="0"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人为水土流失监管从严。</w:t>
      </w:r>
      <w:r>
        <w:rPr>
          <w:rFonts w:hint="default" w:ascii="Times New Roman" w:hAnsi="Times New Roman" w:eastAsia="仿宋_GB2312" w:cs="Times New Roman"/>
          <w:color w:val="auto"/>
          <w:kern w:val="2"/>
          <w:sz w:val="32"/>
          <w:szCs w:val="32"/>
          <w:lang w:val="en-US" w:eastAsia="zh-CN" w:bidi="ar-SA"/>
        </w:rPr>
        <w:t xml:space="preserve">“十四五” 全区审批水土保持方案 </w:t>
      </w:r>
      <w:r>
        <w:rPr>
          <w:rFonts w:hint="eastAsia" w:eastAsia="仿宋_GB2312" w:cs="Times New Roman"/>
          <w:color w:val="auto"/>
          <w:kern w:val="2"/>
          <w:sz w:val="32"/>
          <w:szCs w:val="32"/>
          <w:lang w:val="en-US" w:eastAsia="zh-CN" w:bidi="ar-SA"/>
        </w:rPr>
        <w:t>137</w:t>
      </w:r>
      <w:r>
        <w:rPr>
          <w:rFonts w:hint="default" w:ascii="Times New Roman" w:hAnsi="Times New Roman" w:eastAsia="仿宋_GB2312" w:cs="Times New Roman"/>
          <w:color w:val="auto"/>
          <w:kern w:val="2"/>
          <w:sz w:val="32"/>
          <w:szCs w:val="32"/>
          <w:lang w:val="en-US" w:eastAsia="zh-CN" w:bidi="ar-SA"/>
        </w:rPr>
        <w:t xml:space="preserve"> 个、验收报备 </w:t>
      </w:r>
      <w:r>
        <w:rPr>
          <w:rFonts w:hint="eastAsia" w:eastAsia="仿宋_GB2312" w:cs="Times New Roman"/>
          <w:color w:val="auto"/>
          <w:kern w:val="2"/>
          <w:sz w:val="32"/>
          <w:szCs w:val="32"/>
          <w:lang w:val="en-US" w:eastAsia="zh-CN" w:bidi="ar-SA"/>
        </w:rPr>
        <w:t>120</w:t>
      </w:r>
      <w:r>
        <w:rPr>
          <w:rFonts w:hint="default" w:ascii="Times New Roman" w:hAnsi="Times New Roman" w:eastAsia="仿宋_GB2312" w:cs="Times New Roman"/>
          <w:color w:val="auto"/>
          <w:kern w:val="2"/>
          <w:sz w:val="32"/>
          <w:szCs w:val="32"/>
          <w:lang w:val="en-US" w:eastAsia="zh-CN" w:bidi="ar-SA"/>
        </w:rPr>
        <w:t xml:space="preserve"> 个，征收水土保持补偿费</w:t>
      </w:r>
      <w:r>
        <w:rPr>
          <w:rFonts w:hint="eastAsia" w:ascii="仿宋_GB2312" w:eastAsia="仿宋_GB2312"/>
          <w:color w:val="auto"/>
          <w:sz w:val="32"/>
          <w:szCs w:val="32"/>
          <w:lang w:val="en-US" w:eastAsia="zh-CN"/>
        </w:rPr>
        <w:t>997.04</w:t>
      </w:r>
      <w:r>
        <w:rPr>
          <w:rFonts w:hint="eastAsia" w:ascii="仿宋_GB2312" w:eastAsia="仿宋_GB2312"/>
          <w:color w:val="auto"/>
          <w:sz w:val="32"/>
          <w:szCs w:val="32"/>
        </w:rPr>
        <w:t>万元</w:t>
      </w:r>
      <w:r>
        <w:rPr>
          <w:rFonts w:hint="default" w:ascii="Times New Roman" w:hAnsi="Times New Roman" w:eastAsia="仿宋_GB2312" w:cs="Times New Roman"/>
          <w:color w:val="auto"/>
          <w:kern w:val="2"/>
          <w:sz w:val="32"/>
          <w:szCs w:val="32"/>
          <w:lang w:val="en-US" w:eastAsia="zh-CN" w:bidi="ar-SA"/>
        </w:rPr>
        <w:t xml:space="preserve">；开展生产建设项目现场检查 </w:t>
      </w:r>
      <w:r>
        <w:rPr>
          <w:rFonts w:hint="eastAsia" w:eastAsia="仿宋_GB2312" w:cs="Times New Roman"/>
          <w:color w:val="auto"/>
          <w:kern w:val="2"/>
          <w:sz w:val="32"/>
          <w:szCs w:val="32"/>
          <w:lang w:val="en-US" w:eastAsia="zh-CN" w:bidi="ar-SA"/>
        </w:rPr>
        <w:t>60余</w:t>
      </w:r>
      <w:r>
        <w:rPr>
          <w:rFonts w:hint="default" w:ascii="Times New Roman" w:hAnsi="Times New Roman" w:eastAsia="仿宋_GB2312" w:cs="Times New Roman"/>
          <w:color w:val="auto"/>
          <w:kern w:val="2"/>
          <w:sz w:val="32"/>
          <w:szCs w:val="32"/>
          <w:lang w:val="en-US" w:eastAsia="zh-CN" w:bidi="ar-SA"/>
        </w:rPr>
        <w:t xml:space="preserve"> 次、自主验收核查</w:t>
      </w:r>
      <w:r>
        <w:rPr>
          <w:rFonts w:hint="eastAsia" w:eastAsia="仿宋_GB2312" w:cs="Times New Roman"/>
          <w:color w:val="auto"/>
          <w:kern w:val="2"/>
          <w:sz w:val="32"/>
          <w:szCs w:val="32"/>
          <w:lang w:val="en-US" w:eastAsia="zh-CN" w:bidi="ar-SA"/>
        </w:rPr>
        <w:t>60余</w:t>
      </w:r>
      <w:r>
        <w:rPr>
          <w:rFonts w:hint="default" w:ascii="Times New Roman" w:hAnsi="Times New Roman" w:eastAsia="仿宋_GB2312" w:cs="Times New Roman"/>
          <w:color w:val="auto"/>
          <w:kern w:val="2"/>
          <w:sz w:val="32"/>
          <w:szCs w:val="32"/>
          <w:lang w:val="en-US" w:eastAsia="zh-CN" w:bidi="ar-SA"/>
        </w:rPr>
        <w:t xml:space="preserve">个；查处违法项目 </w:t>
      </w:r>
      <w:r>
        <w:rPr>
          <w:rFonts w:hint="eastAsia"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 xml:space="preserve">个，实施行政处罚 </w:t>
      </w:r>
      <w:r>
        <w:rPr>
          <w:rFonts w:hint="eastAsia"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 xml:space="preserve"> 起</w:t>
      </w:r>
      <w:r>
        <w:rPr>
          <w:rFonts w:hint="eastAsia" w:eastAsia="仿宋_GB2312" w:cs="Times New Roman"/>
          <w:color w:val="auto"/>
          <w:kern w:val="2"/>
          <w:sz w:val="32"/>
          <w:szCs w:val="32"/>
          <w:lang w:val="en-US" w:eastAsia="zh-CN" w:bidi="ar-SA"/>
        </w:rPr>
        <w:t>，罚款17.619万元</w:t>
      </w:r>
      <w:r>
        <w:rPr>
          <w:rFonts w:hint="default" w:ascii="Times New Roman" w:hAnsi="Times New Roman" w:eastAsia="仿宋_GB2312" w:cs="Times New Roman"/>
          <w:color w:val="auto"/>
          <w:kern w:val="2"/>
          <w:sz w:val="32"/>
          <w:szCs w:val="32"/>
          <w:lang w:val="en-US" w:eastAsia="zh-CN" w:bidi="ar-SA"/>
        </w:rPr>
        <w:t>。</w:t>
      </w:r>
    </w:p>
    <w:p w14:paraId="3CE6F2D0">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生态示范建设取得突破。</w:t>
      </w:r>
      <w:r>
        <w:rPr>
          <w:rFonts w:hint="default" w:ascii="Times New Roman" w:hAnsi="Times New Roman" w:eastAsia="仿宋_GB2312" w:cs="Times New Roman"/>
          <w:kern w:val="2"/>
          <w:sz w:val="32"/>
          <w:szCs w:val="32"/>
          <w:lang w:val="en-US" w:eastAsia="zh-CN" w:bidi="ar-SA"/>
        </w:rPr>
        <w:t>沙湾大渡河国家湿地公园顺利通过国家验收；打造沙湾 “沫若文旅 + 绿水青山” 评价指标体系，探索形成 “先进工业 + 现代农业 + 生态旅游” 融合发展路径。</w:t>
      </w:r>
    </w:p>
    <w:p w14:paraId="7FE57053">
      <w:pPr>
        <w:pStyle w:val="3"/>
        <w:spacing w:line="600" w:lineRule="exact"/>
        <w:rPr>
          <w:rFonts w:hint="default" w:ascii="Times New Roman" w:hAnsi="Times New Roman" w:cs="Times New Roman"/>
          <w:sz w:val="32"/>
          <w:szCs w:val="32"/>
        </w:rPr>
      </w:pPr>
      <w:bookmarkStart w:id="72" w:name="_Toc9281"/>
      <w:bookmarkStart w:id="73" w:name="_Toc16706"/>
      <w:bookmarkStart w:id="74" w:name="_Toc7600"/>
      <w:bookmarkStart w:id="75" w:name="_Toc23646"/>
      <w:bookmarkStart w:id="76" w:name="_Toc5523"/>
      <w:bookmarkStart w:id="77" w:name="_Toc12713"/>
      <w:bookmarkStart w:id="78" w:name="_Toc9231"/>
      <w:bookmarkStart w:id="79" w:name="_Toc29001"/>
      <w:bookmarkStart w:id="80" w:name="_Toc17151"/>
      <w:bookmarkStart w:id="81" w:name="_Toc14211"/>
      <w:bookmarkStart w:id="82" w:name="_Toc5399"/>
      <w:r>
        <w:rPr>
          <w:rFonts w:hint="default" w:ascii="Times New Roman" w:hAnsi="Times New Roman" w:cs="Times New Roman"/>
          <w:sz w:val="32"/>
          <w:szCs w:val="32"/>
        </w:rPr>
        <w:t>智慧水利建设初具成效</w:t>
      </w:r>
      <w:bookmarkEnd w:id="72"/>
      <w:bookmarkEnd w:id="73"/>
      <w:bookmarkEnd w:id="74"/>
      <w:bookmarkEnd w:id="75"/>
      <w:bookmarkEnd w:id="76"/>
      <w:bookmarkEnd w:id="77"/>
      <w:bookmarkEnd w:id="78"/>
      <w:bookmarkEnd w:id="79"/>
      <w:bookmarkEnd w:id="80"/>
      <w:bookmarkEnd w:id="81"/>
      <w:bookmarkEnd w:id="82"/>
    </w:p>
    <w:p w14:paraId="371C3AE0">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全域监测感知网络成型。</w:t>
      </w:r>
      <w:r>
        <w:rPr>
          <w:rFonts w:hint="default" w:ascii="Times New Roman" w:hAnsi="Times New Roman" w:eastAsia="仿宋_GB2312" w:cs="Times New Roman"/>
          <w:kern w:val="2"/>
          <w:sz w:val="32"/>
          <w:szCs w:val="32"/>
          <w:lang w:val="en-US" w:eastAsia="zh-CN" w:bidi="ar-SA"/>
        </w:rPr>
        <w:t xml:space="preserve">共享市级测雨雷达 1 座；辖区布设水文监测站点 </w:t>
      </w:r>
      <w:r>
        <w:rPr>
          <w:rFonts w:hint="eastAsia" w:ascii="Times New Roman" w:hAnsi="Times New Roman" w:eastAsia="仿宋_GB2312" w:cs="Times New Roman"/>
          <w:kern w:val="2"/>
          <w:sz w:val="32"/>
          <w:szCs w:val="32"/>
          <w:lang w:val="en-US" w:eastAsia="zh-CN" w:bidi="ar-SA"/>
        </w:rPr>
        <w:t>27</w:t>
      </w:r>
      <w:r>
        <w:rPr>
          <w:rFonts w:hint="default" w:ascii="Times New Roman" w:hAnsi="Times New Roman" w:eastAsia="仿宋_GB2312" w:cs="Times New Roman"/>
          <w:kern w:val="2"/>
          <w:sz w:val="32"/>
          <w:szCs w:val="32"/>
          <w:lang w:val="en-US" w:eastAsia="zh-CN" w:bidi="ar-SA"/>
        </w:rPr>
        <w:t xml:space="preserve">处（水文站 </w:t>
      </w: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 xml:space="preserve">、雨量站 </w:t>
      </w:r>
      <w:r>
        <w:rPr>
          <w:rFonts w:hint="eastAsia" w:ascii="Times New Roman" w:hAnsi="Times New Roman" w:eastAsia="仿宋_GB2312" w:cs="Times New Roman"/>
          <w:kern w:val="2"/>
          <w:sz w:val="32"/>
          <w:szCs w:val="32"/>
          <w:lang w:val="en-US" w:eastAsia="zh-CN" w:bidi="ar-SA"/>
        </w:rPr>
        <w:t>25</w:t>
      </w:r>
      <w:r>
        <w:rPr>
          <w:rFonts w:hint="default" w:ascii="Times New Roman" w:hAnsi="Times New Roman" w:eastAsia="仿宋_GB2312" w:cs="Times New Roman"/>
          <w:kern w:val="2"/>
          <w:sz w:val="32"/>
          <w:szCs w:val="32"/>
          <w:lang w:val="en-US" w:eastAsia="zh-CN" w:bidi="ar-SA"/>
        </w:rPr>
        <w:t>）、河道视频</w:t>
      </w: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 xml:space="preserve">处。完成 </w:t>
      </w:r>
      <w:r>
        <w:rPr>
          <w:rFonts w:hint="eastAsia"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en-US" w:eastAsia="zh-CN" w:bidi="ar-SA"/>
        </w:rPr>
        <w:t xml:space="preserve"> 座小型水库水雨情</w:t>
      </w:r>
      <w:r>
        <w:rPr>
          <w:rFonts w:hint="eastAsia" w:ascii="Times New Roman" w:hAnsi="Times New Roman" w:eastAsia="仿宋_GB2312" w:cs="Times New Roman"/>
          <w:kern w:val="2"/>
          <w:sz w:val="32"/>
          <w:szCs w:val="32"/>
          <w:lang w:val="en-US" w:eastAsia="zh-CN" w:bidi="ar-SA"/>
        </w:rPr>
        <w:t>和</w:t>
      </w:r>
      <w:r>
        <w:rPr>
          <w:rFonts w:hint="default" w:ascii="Times New Roman" w:hAnsi="Times New Roman" w:eastAsia="仿宋_GB2312" w:cs="Times New Roman"/>
          <w:kern w:val="2"/>
          <w:sz w:val="32"/>
          <w:szCs w:val="32"/>
          <w:lang w:val="en-US" w:eastAsia="zh-CN" w:bidi="ar-SA"/>
        </w:rPr>
        <w:t>大坝安全自动化监测建设。沫江堰沙湾灌区配套完善量测水、灌区视频设施</w:t>
      </w:r>
      <w:r>
        <w:rPr>
          <w:rFonts w:hint="eastAsia"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全域智慧水务框架初步建成。</w:t>
      </w:r>
    </w:p>
    <w:p w14:paraId="2FD31C7A">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数字孪生应用落地沙湾。</w:t>
      </w:r>
      <w:r>
        <w:rPr>
          <w:rFonts w:hint="default" w:ascii="Times New Roman" w:hAnsi="Times New Roman" w:eastAsia="仿宋_GB2312" w:cs="Times New Roman"/>
          <w:kern w:val="2"/>
          <w:sz w:val="32"/>
          <w:szCs w:val="32"/>
          <w:lang w:val="en-US" w:eastAsia="zh-CN" w:bidi="ar-SA"/>
        </w:rPr>
        <w:t>依托省级水利统一平台搭建区级业务系统，建成沙湾河湖长制平台、水电站生态流量监控、山洪预警、水文管理等业务模块。</w:t>
      </w:r>
    </w:p>
    <w:p w14:paraId="33FB9A28">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zh-CN" w:eastAsia="zh-CN" w:bidi="ar-SA"/>
        </w:rPr>
      </w:pPr>
      <w:r>
        <w:rPr>
          <w:rFonts w:hint="default" w:ascii="Times New Roman" w:hAnsi="Times New Roman" w:eastAsia="楷体_GB2312" w:cs="Times New Roman"/>
          <w:kern w:val="2"/>
          <w:sz w:val="32"/>
          <w:szCs w:val="32"/>
          <w:lang w:val="en-US" w:eastAsia="zh-CN" w:bidi="ar-SA"/>
        </w:rPr>
        <w:t>信息化支撑体系完善。</w:t>
      </w:r>
      <w:r>
        <w:rPr>
          <w:rFonts w:hint="default" w:ascii="Times New Roman" w:hAnsi="Times New Roman" w:eastAsia="仿宋_GB2312" w:cs="Times New Roman"/>
          <w:kern w:val="2"/>
          <w:sz w:val="32"/>
          <w:szCs w:val="32"/>
          <w:lang w:val="en-US" w:eastAsia="zh-CN" w:bidi="ar-SA"/>
        </w:rPr>
        <w:t>依托沙湾区政务云统筹算力、存储、网络资源，搭建区 — 镇两级水利</w:t>
      </w:r>
      <w:r>
        <w:rPr>
          <w:rFonts w:hint="eastAsia" w:eastAsia="仿宋_GB2312" w:cs="Times New Roman"/>
          <w:kern w:val="2"/>
          <w:sz w:val="32"/>
          <w:szCs w:val="32"/>
          <w:lang w:val="en-US" w:eastAsia="zh-CN" w:bidi="ar-SA"/>
        </w:rPr>
        <w:t>调度</w:t>
      </w:r>
      <w:r>
        <w:rPr>
          <w:rFonts w:hint="default" w:ascii="Times New Roman" w:hAnsi="Times New Roman" w:eastAsia="仿宋_GB2312" w:cs="Times New Roman"/>
          <w:kern w:val="2"/>
          <w:sz w:val="32"/>
          <w:szCs w:val="32"/>
          <w:lang w:val="en-US" w:eastAsia="zh-CN" w:bidi="ar-SA"/>
        </w:rPr>
        <w:t>专网，区级建成标准化防汛调度指挥中心，实现上下级视频会商、远程调度常态化。</w:t>
      </w:r>
    </w:p>
    <w:bookmarkEnd w:id="70"/>
    <w:bookmarkEnd w:id="71"/>
    <w:p w14:paraId="7D298193">
      <w:pPr>
        <w:pStyle w:val="3"/>
        <w:spacing w:line="600" w:lineRule="exact"/>
        <w:rPr>
          <w:rFonts w:hint="default" w:ascii="Times New Roman" w:hAnsi="Times New Roman" w:cs="Times New Roman"/>
          <w:sz w:val="32"/>
          <w:szCs w:val="32"/>
          <w:lang w:val="en-US"/>
        </w:rPr>
      </w:pPr>
      <w:bookmarkStart w:id="83" w:name="_Toc28922"/>
      <w:bookmarkStart w:id="84" w:name="_Toc24502"/>
      <w:bookmarkStart w:id="85" w:name="_Toc19275"/>
      <w:bookmarkStart w:id="86" w:name="_Toc9559"/>
      <w:bookmarkStart w:id="87" w:name="_Toc8224"/>
      <w:bookmarkStart w:id="88" w:name="_Toc8535"/>
      <w:bookmarkStart w:id="89" w:name="_Toc469"/>
      <w:bookmarkStart w:id="90" w:name="_Toc11019"/>
      <w:bookmarkStart w:id="91" w:name="_Toc27012"/>
      <w:bookmarkStart w:id="92" w:name="_Toc11621"/>
      <w:bookmarkStart w:id="93" w:name="_Toc22354"/>
      <w:r>
        <w:rPr>
          <w:rFonts w:hint="default" w:ascii="Times New Roman" w:hAnsi="Times New Roman" w:cs="Times New Roman"/>
          <w:sz w:val="32"/>
          <w:szCs w:val="32"/>
        </w:rPr>
        <w:t>水利治理管理水平持续提升</w:t>
      </w:r>
      <w:bookmarkEnd w:id="83"/>
      <w:bookmarkEnd w:id="84"/>
      <w:bookmarkEnd w:id="85"/>
      <w:bookmarkEnd w:id="86"/>
      <w:bookmarkEnd w:id="87"/>
      <w:bookmarkEnd w:id="88"/>
      <w:bookmarkEnd w:id="89"/>
      <w:bookmarkEnd w:id="90"/>
      <w:bookmarkEnd w:id="91"/>
      <w:bookmarkEnd w:id="92"/>
      <w:bookmarkEnd w:id="93"/>
    </w:p>
    <w:p w14:paraId="36DF7C45">
      <w:pPr>
        <w:widowControl w:val="0"/>
        <w:spacing w:after="0" w:line="600" w:lineRule="exact"/>
        <w:ind w:left="0" w:leftChars="0" w:firstLine="640" w:firstLineChars="200"/>
        <w:jc w:val="both"/>
        <w:rPr>
          <w:rFonts w:hint="default" w:ascii="Times New Roman" w:hAnsi="Times New Roman" w:eastAsia="仿宋_GB2312" w:cs="Times New Roman"/>
          <w:kern w:val="2"/>
          <w:sz w:val="32"/>
          <w:szCs w:val="32"/>
          <w:lang w:val="en-US" w:eastAsia="zh-CN" w:bidi="ar-SA"/>
        </w:rPr>
      </w:pPr>
      <w:bookmarkStart w:id="94" w:name="_Toc106352009"/>
      <w:r>
        <w:rPr>
          <w:rFonts w:hint="default" w:ascii="Times New Roman" w:hAnsi="Times New Roman" w:eastAsia="楷体_GB2312" w:cs="Times New Roman"/>
          <w:kern w:val="2"/>
          <w:sz w:val="32"/>
          <w:szCs w:val="32"/>
          <w:lang w:val="en-US" w:eastAsia="zh-CN" w:bidi="ar-SA"/>
        </w:rPr>
        <w:t>河湖长制体系全域覆盖。</w:t>
      </w:r>
      <w:r>
        <w:rPr>
          <w:rFonts w:hint="default" w:ascii="Times New Roman" w:hAnsi="Times New Roman" w:eastAsia="仿宋_GB2312" w:cs="Times New Roman"/>
          <w:color w:val="auto"/>
          <w:kern w:val="2"/>
          <w:sz w:val="32"/>
          <w:szCs w:val="32"/>
          <w:lang w:val="en-US" w:eastAsia="zh-CN" w:bidi="ar-SA"/>
        </w:rPr>
        <w:t>截至 2025 年，全区配齐区、镇、村、组四级河湖长</w:t>
      </w:r>
      <w:r>
        <w:rPr>
          <w:rFonts w:hint="eastAsia" w:eastAsia="仿宋_GB2312" w:cs="Times New Roman"/>
          <w:color w:val="auto"/>
          <w:kern w:val="2"/>
          <w:sz w:val="32"/>
          <w:szCs w:val="32"/>
          <w:lang w:val="en-US" w:eastAsia="zh-CN" w:bidi="ar-SA"/>
        </w:rPr>
        <w:t>559</w:t>
      </w:r>
      <w:r>
        <w:rPr>
          <w:rFonts w:hint="default" w:ascii="Times New Roman" w:hAnsi="Times New Roman" w:eastAsia="仿宋_GB2312" w:cs="Times New Roman"/>
          <w:color w:val="auto"/>
          <w:kern w:val="2"/>
          <w:sz w:val="32"/>
          <w:szCs w:val="32"/>
          <w:lang w:val="en-US" w:eastAsia="zh-CN" w:bidi="ar-SA"/>
        </w:rPr>
        <w:t>人，构建 “管、治、保” 一体化管护机制。区内 2 个市级考核断面常年稳定达到 Ⅲ 类，大渡河沙湾</w:t>
      </w:r>
      <w:r>
        <w:rPr>
          <w:rFonts w:hint="default" w:ascii="Times New Roman" w:hAnsi="Times New Roman" w:eastAsia="仿宋_GB2312" w:cs="Times New Roman"/>
          <w:kern w:val="2"/>
          <w:sz w:val="32"/>
          <w:szCs w:val="32"/>
          <w:lang w:val="en-US" w:eastAsia="zh-CN" w:bidi="ar-SA"/>
        </w:rPr>
        <w:t>出境断面常年保持 Ⅱ 类水质。常态化开展清河、护岸、净水、保水、禁渔五大专项行动，河湖常态化管护机制全面落地。</w:t>
      </w:r>
    </w:p>
    <w:p w14:paraId="76C9AC7E">
      <w:pPr>
        <w:widowControl w:val="0"/>
        <w:spacing w:after="0" w:line="600" w:lineRule="exact"/>
        <w:ind w:left="0" w:leftChars="0"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多元水利投融资渠道拓宽。</w:t>
      </w:r>
      <w:r>
        <w:rPr>
          <w:rFonts w:hint="default" w:ascii="Times New Roman" w:hAnsi="Times New Roman" w:eastAsia="仿宋_GB2312" w:cs="Times New Roman"/>
          <w:kern w:val="2"/>
          <w:sz w:val="32"/>
          <w:szCs w:val="32"/>
          <w:lang w:val="en-US" w:eastAsia="zh-CN" w:bidi="ar-SA"/>
        </w:rPr>
        <w:t>积极争取中央国债、地方专项债、政策性银行贷款，深化政银企合作，破解供水、</w:t>
      </w:r>
      <w:r>
        <w:rPr>
          <w:rFonts w:hint="eastAsia" w:eastAsia="仿宋_GB2312" w:cs="Times New Roman"/>
          <w:kern w:val="2"/>
          <w:sz w:val="32"/>
          <w:szCs w:val="32"/>
          <w:lang w:val="en-US" w:eastAsia="zh-CN" w:bidi="ar-SA"/>
        </w:rPr>
        <w:t>防洪工程</w:t>
      </w:r>
      <w:r>
        <w:rPr>
          <w:rFonts w:hint="default" w:ascii="Times New Roman" w:hAnsi="Times New Roman" w:eastAsia="仿宋_GB2312" w:cs="Times New Roman"/>
          <w:kern w:val="2"/>
          <w:sz w:val="32"/>
          <w:szCs w:val="32"/>
          <w:lang w:val="en-US" w:eastAsia="zh-CN" w:bidi="ar-SA"/>
        </w:rPr>
        <w:t>资金难题。</w:t>
      </w:r>
    </w:p>
    <w:p w14:paraId="2FB0484E">
      <w:pPr>
        <w:widowControl w:val="0"/>
        <w:spacing w:after="0" w:line="600" w:lineRule="exact"/>
        <w:ind w:left="0" w:leftChars="0"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工程建设与法治管理不断规范。</w:t>
      </w:r>
      <w:r>
        <w:rPr>
          <w:rFonts w:hint="default" w:ascii="Times New Roman" w:hAnsi="Times New Roman" w:eastAsia="仿宋_GB2312" w:cs="Times New Roman"/>
          <w:kern w:val="2"/>
          <w:sz w:val="32"/>
          <w:szCs w:val="32"/>
          <w:lang w:val="en-US" w:eastAsia="zh-CN" w:bidi="ar-SA"/>
        </w:rPr>
        <w:t>严格执行水利项目法人、招投标、监理三项制度，建立分级隐患管控、重大隐患挂牌督办安全生产机制。强化</w:t>
      </w:r>
      <w:r>
        <w:rPr>
          <w:rFonts w:hint="eastAsia" w:eastAsia="仿宋_GB2312" w:cs="Times New Roman"/>
          <w:kern w:val="2"/>
          <w:sz w:val="32"/>
          <w:szCs w:val="32"/>
          <w:lang w:val="en-US" w:eastAsia="zh-CN" w:bidi="ar-SA"/>
        </w:rPr>
        <w:t>红猫堰</w:t>
      </w:r>
      <w:r>
        <w:rPr>
          <w:rFonts w:hint="default" w:ascii="Times New Roman" w:hAnsi="Times New Roman" w:eastAsia="仿宋_GB2312" w:cs="Times New Roman"/>
          <w:kern w:val="2"/>
          <w:sz w:val="32"/>
          <w:szCs w:val="32"/>
          <w:lang w:val="en-US" w:eastAsia="zh-CN" w:bidi="ar-SA"/>
        </w:rPr>
        <w:t>水利遗产、大渡河湿地公园法治保护宣传。</w:t>
      </w:r>
    </w:p>
    <w:p w14:paraId="524A79F5">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水土保持全链条监管升级。</w:t>
      </w:r>
      <w:r>
        <w:rPr>
          <w:rFonts w:hint="default" w:ascii="Times New Roman" w:hAnsi="Times New Roman" w:eastAsia="仿宋_GB2312" w:cs="Times New Roman"/>
          <w:kern w:val="2"/>
          <w:sz w:val="32"/>
          <w:szCs w:val="32"/>
          <w:lang w:val="en-US" w:eastAsia="zh-CN" w:bidi="ar-SA"/>
        </w:rPr>
        <w:t>依托全国水土保持监管平台，规范方案审批、遥感核查、现场检查、验收全流程；完成城区水土监测站点升级；通过政府购买服务开展图斑核查、天地一体化监管；完成全区禁止开垦陡坡地划定。</w:t>
      </w:r>
    </w:p>
    <w:p w14:paraId="60F32D41">
      <w:pPr>
        <w:widowControl w:val="0"/>
        <w:spacing w:after="0" w:line="600" w:lineRule="exact"/>
        <w:ind w:left="0" w:leftChars="0"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val="0"/>
          <w:bCs/>
          <w:kern w:val="2"/>
          <w:sz w:val="32"/>
          <w:szCs w:val="32"/>
          <w:lang w:val="en-US" w:eastAsia="zh-CN" w:bidi="ar-SA"/>
        </w:rPr>
        <w:t>移民后期扶持惠民见效</w:t>
      </w:r>
      <w:r>
        <w:rPr>
          <w:rFonts w:hint="default" w:ascii="Times New Roman" w:hAnsi="Times New Roman" w:eastAsia="楷体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“十四五” 直发直补发放0.525亿元，受益移民16782人。实施移民后扶项目221个，投入一般项目资金 1.62 亿元，争取中央、省级扶持重点项目资金 0.3 亿元，2个产业扶持项目获评四川省大中型水库移民后续发展典型案例，库区移民生产生活水平持续改善。</w:t>
      </w:r>
    </w:p>
    <w:p w14:paraId="4A60BB30">
      <w:pPr>
        <w:adjustRightInd w:val="0"/>
        <w:snapToGrid w:val="0"/>
        <w:spacing w:after="0" w:line="590" w:lineRule="exact"/>
        <w:ind w:firstLine="640" w:firstLineChars="200"/>
        <w:rPr>
          <w:rFonts w:hint="default" w:ascii="Times New Roman" w:hAnsi="Times New Roman" w:eastAsia="仿宋_GB2312" w:cs="Times New Roman"/>
          <w:sz w:val="32"/>
          <w:szCs w:val="32"/>
          <w:lang w:val="zh-CN"/>
        </w:rPr>
      </w:pPr>
    </w:p>
    <w:bookmarkEnd w:id="94"/>
    <w:p w14:paraId="74C684AF">
      <w:pPr>
        <w:pStyle w:val="2"/>
        <w:spacing w:after="340" w:line="600" w:lineRule="exact"/>
        <w:rPr>
          <w:rFonts w:hint="default" w:ascii="Times New Roman" w:hAnsi="Times New Roman" w:cs="Times New Roman"/>
          <w:sz w:val="36"/>
          <w:szCs w:val="36"/>
        </w:rPr>
      </w:pPr>
      <w:bookmarkStart w:id="95" w:name="_Toc27251"/>
      <w:bookmarkStart w:id="96" w:name="_Toc29718"/>
      <w:bookmarkStart w:id="97" w:name="_Toc5932"/>
      <w:bookmarkStart w:id="98" w:name="_Toc15851"/>
      <w:bookmarkStart w:id="99" w:name="_Toc7841"/>
      <w:bookmarkStart w:id="100" w:name="_Toc3132"/>
      <w:bookmarkStart w:id="101" w:name="_Toc16531"/>
      <w:bookmarkStart w:id="102" w:name="_Toc21756"/>
      <w:bookmarkStart w:id="103" w:name="_Toc29322"/>
      <w:bookmarkStart w:id="104" w:name="_Toc12231"/>
      <w:bookmarkStart w:id="105" w:name="_Toc24032"/>
      <w:r>
        <w:rPr>
          <w:rFonts w:hint="default" w:ascii="Times New Roman" w:hAnsi="Times New Roman" w:cs="Times New Roman"/>
          <w:sz w:val="36"/>
          <w:szCs w:val="36"/>
          <w:lang w:val="en-US"/>
        </w:rPr>
        <w:t>现状与</w:t>
      </w:r>
      <w:r>
        <w:rPr>
          <w:rFonts w:hint="default" w:ascii="Times New Roman" w:hAnsi="Times New Roman" w:cs="Times New Roman"/>
          <w:sz w:val="36"/>
          <w:szCs w:val="36"/>
        </w:rPr>
        <w:t>形势</w:t>
      </w:r>
      <w:bookmarkEnd w:id="95"/>
      <w:bookmarkEnd w:id="96"/>
      <w:bookmarkEnd w:id="97"/>
      <w:bookmarkEnd w:id="98"/>
      <w:bookmarkEnd w:id="99"/>
      <w:bookmarkEnd w:id="100"/>
      <w:bookmarkEnd w:id="101"/>
      <w:bookmarkEnd w:id="102"/>
      <w:bookmarkEnd w:id="103"/>
      <w:bookmarkEnd w:id="104"/>
      <w:bookmarkEnd w:id="105"/>
    </w:p>
    <w:p w14:paraId="7AA175B6">
      <w:pPr>
        <w:pStyle w:val="3"/>
        <w:spacing w:line="600" w:lineRule="exact"/>
        <w:rPr>
          <w:rFonts w:hint="default" w:ascii="Times New Roman" w:hAnsi="Times New Roman" w:cs="Times New Roman"/>
          <w:sz w:val="32"/>
          <w:szCs w:val="32"/>
        </w:rPr>
      </w:pPr>
      <w:bookmarkStart w:id="106" w:name="_Toc31072"/>
      <w:bookmarkStart w:id="107" w:name="_Toc22050"/>
      <w:bookmarkStart w:id="108" w:name="_Toc11696"/>
      <w:bookmarkStart w:id="109" w:name="_Toc13377"/>
      <w:bookmarkStart w:id="110" w:name="_Toc21738"/>
      <w:bookmarkStart w:id="111" w:name="_Toc21213"/>
      <w:bookmarkStart w:id="112" w:name="_Toc1955"/>
      <w:bookmarkStart w:id="113" w:name="_Toc229"/>
      <w:bookmarkStart w:id="114" w:name="_Toc3870"/>
      <w:bookmarkStart w:id="115" w:name="_Toc29802"/>
      <w:bookmarkStart w:id="116" w:name="_Toc17824"/>
      <w:bookmarkStart w:id="117" w:name="_Toc215129869"/>
      <w:r>
        <w:rPr>
          <w:rFonts w:hint="default" w:ascii="Times New Roman" w:hAnsi="Times New Roman" w:cs="Times New Roman"/>
          <w:sz w:val="32"/>
          <w:szCs w:val="32"/>
        </w:rPr>
        <w:t>水安全保障现状</w:t>
      </w:r>
      <w:bookmarkEnd w:id="106"/>
      <w:bookmarkEnd w:id="107"/>
      <w:bookmarkEnd w:id="108"/>
      <w:bookmarkEnd w:id="109"/>
      <w:bookmarkEnd w:id="110"/>
      <w:bookmarkEnd w:id="111"/>
      <w:bookmarkEnd w:id="112"/>
      <w:bookmarkEnd w:id="113"/>
      <w:bookmarkEnd w:id="114"/>
      <w:bookmarkEnd w:id="115"/>
      <w:bookmarkEnd w:id="116"/>
    </w:p>
    <w:p w14:paraId="4A8E528C">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 xml:space="preserve">截至 2025 </w:t>
      </w:r>
      <w:r>
        <w:rPr>
          <w:rFonts w:hint="default" w:ascii="Times New Roman" w:hAnsi="Times New Roman" w:eastAsia="仿宋_GB2312" w:cs="Times New Roman"/>
          <w:color w:val="auto"/>
          <w:kern w:val="2"/>
          <w:sz w:val="32"/>
          <w:szCs w:val="32"/>
          <w:lang w:val="en-US" w:eastAsia="zh-CN" w:bidi="ar-SA"/>
        </w:rPr>
        <w:t xml:space="preserve">年末，沙湾区已建成水库 </w:t>
      </w:r>
      <w:r>
        <w:rPr>
          <w:rFonts w:hint="eastAsia" w:eastAsia="仿宋_GB2312"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US" w:eastAsia="zh-CN" w:bidi="ar-SA"/>
        </w:rPr>
        <w:t xml:space="preserve"> 座、泵站 </w:t>
      </w:r>
      <w:r>
        <w:rPr>
          <w:rFonts w:hint="eastAsia" w:eastAsia="仿宋_GB2312" w:cs="Times New Roman"/>
          <w:color w:val="auto"/>
          <w:kern w:val="2"/>
          <w:sz w:val="32"/>
          <w:szCs w:val="32"/>
          <w:lang w:val="en-US" w:eastAsia="zh-CN" w:bidi="ar-SA"/>
        </w:rPr>
        <w:t>61</w:t>
      </w:r>
      <w:r>
        <w:rPr>
          <w:rFonts w:hint="default" w:ascii="Times New Roman" w:hAnsi="Times New Roman" w:eastAsia="仿宋_GB2312" w:cs="Times New Roman"/>
          <w:color w:val="auto"/>
          <w:kern w:val="2"/>
          <w:sz w:val="32"/>
          <w:szCs w:val="32"/>
          <w:lang w:val="en-US" w:eastAsia="zh-CN" w:bidi="ar-SA"/>
        </w:rPr>
        <w:t xml:space="preserve">处、塘坝 </w:t>
      </w:r>
      <w:r>
        <w:rPr>
          <w:rFonts w:hint="eastAsia" w:eastAsia="仿宋_GB2312" w:cs="Times New Roman"/>
          <w:color w:val="auto"/>
          <w:kern w:val="2"/>
          <w:sz w:val="32"/>
          <w:szCs w:val="32"/>
          <w:lang w:val="en-US" w:eastAsia="zh-CN" w:bidi="ar-SA"/>
        </w:rPr>
        <w:t>159</w:t>
      </w:r>
      <w:r>
        <w:rPr>
          <w:rFonts w:hint="default" w:ascii="Times New Roman" w:hAnsi="Times New Roman" w:eastAsia="仿宋_GB2312" w:cs="Times New Roman"/>
          <w:color w:val="auto"/>
          <w:kern w:val="2"/>
          <w:sz w:val="32"/>
          <w:szCs w:val="32"/>
          <w:lang w:val="en-US" w:eastAsia="zh-CN" w:bidi="ar-SA"/>
        </w:rPr>
        <w:t xml:space="preserve"> 口、蓄水池 </w:t>
      </w:r>
      <w:r>
        <w:rPr>
          <w:rFonts w:hint="eastAsia" w:eastAsia="仿宋_GB2312" w:cs="Times New Roman"/>
          <w:color w:val="auto"/>
          <w:kern w:val="2"/>
          <w:sz w:val="32"/>
          <w:szCs w:val="32"/>
          <w:lang w:val="en-US" w:eastAsia="zh-CN" w:bidi="ar-SA"/>
        </w:rPr>
        <w:t>243</w:t>
      </w:r>
      <w:r>
        <w:rPr>
          <w:rFonts w:hint="default" w:ascii="Times New Roman" w:hAnsi="Times New Roman" w:eastAsia="仿宋_GB2312" w:cs="Times New Roman"/>
          <w:color w:val="auto"/>
          <w:kern w:val="2"/>
          <w:sz w:val="32"/>
          <w:szCs w:val="32"/>
          <w:lang w:val="en-US" w:eastAsia="zh-CN" w:bidi="ar-SA"/>
        </w:rPr>
        <w:t>口，配套龚嘴、铜街子两座大型梯级电站，形成 “沿江引水、丘陵蓄水、山区蓄引提并举” 供水格局，全区总蓄引提水能力 2.94 亿 m³。</w:t>
      </w:r>
    </w:p>
    <w:p w14:paraId="5B962EEC">
      <w:pPr>
        <w:widowControl w:val="0"/>
        <w:spacing w:after="0" w:line="600" w:lineRule="exact"/>
        <w:ind w:left="0" w:leftChars="0"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城乡供水：城区形成大渡河双水源应急供水体系；建</w:t>
      </w:r>
      <w:r>
        <w:rPr>
          <w:rFonts w:hint="eastAsia" w:eastAsia="仿宋_GB2312" w:cs="Times New Roman"/>
          <w:color w:val="auto"/>
          <w:kern w:val="2"/>
          <w:sz w:val="32"/>
          <w:szCs w:val="32"/>
          <w:lang w:val="en-US" w:eastAsia="zh-CN" w:bidi="ar-SA"/>
        </w:rPr>
        <w:t>设</w:t>
      </w:r>
      <w:r>
        <w:rPr>
          <w:rFonts w:hint="default" w:ascii="Times New Roman" w:hAnsi="Times New Roman" w:eastAsia="仿宋_GB2312" w:cs="Times New Roman"/>
          <w:color w:val="auto"/>
          <w:kern w:val="2"/>
          <w:sz w:val="32"/>
          <w:szCs w:val="32"/>
          <w:lang w:val="en-US" w:eastAsia="zh-CN" w:bidi="ar-SA"/>
        </w:rPr>
        <w:t xml:space="preserve">区级水厂 </w:t>
      </w:r>
      <w:r>
        <w:rPr>
          <w:rFonts w:hint="eastAsia" w:eastAsia="仿宋_GB2312"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US" w:eastAsia="zh-CN" w:bidi="ar-SA"/>
        </w:rPr>
        <w:t xml:space="preserve"> 座、乡镇集中供水工程</w:t>
      </w:r>
      <w:r>
        <w:rPr>
          <w:rFonts w:hint="eastAsia" w:eastAsia="仿宋_GB2312" w:cs="Times New Roman"/>
          <w:color w:val="auto"/>
          <w:kern w:val="2"/>
          <w:sz w:val="32"/>
          <w:szCs w:val="32"/>
          <w:lang w:val="en-US" w:eastAsia="zh-CN" w:bidi="ar-SA"/>
        </w:rPr>
        <w:t>62</w:t>
      </w:r>
      <w:r>
        <w:rPr>
          <w:rFonts w:hint="default" w:ascii="Times New Roman" w:hAnsi="Times New Roman" w:eastAsia="仿宋_GB2312" w:cs="Times New Roman"/>
          <w:color w:val="auto"/>
          <w:kern w:val="2"/>
          <w:sz w:val="32"/>
          <w:szCs w:val="32"/>
          <w:lang w:val="en-US" w:eastAsia="zh-CN" w:bidi="ar-SA"/>
        </w:rPr>
        <w:t xml:space="preserve"> 处，农村自来水普及率</w:t>
      </w:r>
      <w:r>
        <w:rPr>
          <w:rFonts w:hint="eastAsia" w:ascii="Times New Roman" w:hAnsi="Times New Roman" w:eastAsia="仿宋_GB2312" w:cs="Times New Roman"/>
          <w:color w:val="auto"/>
          <w:kern w:val="2"/>
          <w:sz w:val="32"/>
          <w:szCs w:val="32"/>
          <w:lang w:val="en-US" w:eastAsia="zh-CN" w:bidi="ar-SA"/>
        </w:rPr>
        <w:t>93.36</w:t>
      </w:r>
      <w:r>
        <w:rPr>
          <w:rFonts w:hint="default" w:ascii="Times New Roman" w:hAnsi="Times New Roman" w:eastAsia="仿宋_GB2312" w:cs="Times New Roman"/>
          <w:color w:val="auto"/>
          <w:kern w:val="2"/>
          <w:sz w:val="32"/>
          <w:szCs w:val="32"/>
          <w:lang w:val="en-US" w:eastAsia="zh-CN" w:bidi="ar-SA"/>
        </w:rPr>
        <w:t>%。</w:t>
      </w:r>
    </w:p>
    <w:p w14:paraId="0BD3571E">
      <w:pPr>
        <w:widowControl w:val="0"/>
        <w:spacing w:after="0" w:line="600" w:lineRule="exact"/>
        <w:ind w:left="0" w:leftChars="0"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灌溉体系：现有中型灌区 2 处、小型灌区 1</w:t>
      </w:r>
      <w:r>
        <w:rPr>
          <w:rFonts w:hint="eastAsia" w:eastAsia="仿宋_GB2312"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val="en-US" w:eastAsia="zh-CN" w:bidi="ar-SA"/>
        </w:rPr>
        <w:t xml:space="preserve"> 处，耕地有效灌溉面积 </w:t>
      </w:r>
      <w:r>
        <w:rPr>
          <w:rFonts w:hint="eastAsia" w:eastAsia="仿宋_GB2312" w:cs="Times New Roman"/>
          <w:color w:val="auto"/>
          <w:kern w:val="2"/>
          <w:sz w:val="32"/>
          <w:szCs w:val="32"/>
          <w:lang w:val="en-US" w:eastAsia="zh-CN" w:bidi="ar-SA"/>
        </w:rPr>
        <w:t>7.78</w:t>
      </w:r>
      <w:r>
        <w:rPr>
          <w:rFonts w:hint="default" w:ascii="Times New Roman" w:hAnsi="Times New Roman" w:eastAsia="仿宋_GB2312" w:cs="Times New Roman"/>
          <w:color w:val="auto"/>
          <w:kern w:val="2"/>
          <w:sz w:val="32"/>
          <w:szCs w:val="32"/>
          <w:lang w:val="en-US" w:eastAsia="zh-CN" w:bidi="ar-SA"/>
        </w:rPr>
        <w:t xml:space="preserve"> 万亩，灌溉率 </w:t>
      </w:r>
      <w:r>
        <w:rPr>
          <w:rFonts w:hint="eastAsia" w:eastAsia="仿宋_GB2312" w:cs="Times New Roman"/>
          <w:color w:val="auto"/>
          <w:kern w:val="2"/>
          <w:sz w:val="32"/>
          <w:szCs w:val="32"/>
          <w:lang w:val="en-US" w:eastAsia="zh-CN" w:bidi="ar-SA"/>
        </w:rPr>
        <w:t>64.44</w:t>
      </w:r>
      <w:r>
        <w:rPr>
          <w:rFonts w:hint="default" w:ascii="Times New Roman" w:hAnsi="Times New Roman" w:eastAsia="仿宋_GB2312" w:cs="Times New Roman"/>
          <w:color w:val="auto"/>
          <w:kern w:val="2"/>
          <w:sz w:val="32"/>
          <w:szCs w:val="32"/>
          <w:lang w:val="en-US" w:eastAsia="zh-CN" w:bidi="ar-SA"/>
        </w:rPr>
        <w:t>%。</w:t>
      </w:r>
    </w:p>
    <w:p w14:paraId="1095EDB5">
      <w:pPr>
        <w:widowControl w:val="0"/>
        <w:spacing w:after="0" w:line="600" w:lineRule="exact"/>
        <w:ind w:left="0" w:leftChars="0"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防洪工程：全区累计建成堤防 </w:t>
      </w:r>
      <w:r>
        <w:rPr>
          <w:rFonts w:hint="eastAsia" w:ascii="Times New Roman" w:hAnsi="Times New Roman" w:eastAsia="仿宋_GB2312" w:cs="Times New Roman"/>
          <w:color w:val="auto"/>
          <w:kern w:val="2"/>
          <w:sz w:val="32"/>
          <w:szCs w:val="32"/>
          <w:lang w:val="en-US" w:eastAsia="zh-CN" w:bidi="ar-SA"/>
        </w:rPr>
        <w:t>32</w:t>
      </w:r>
      <w:r>
        <w:rPr>
          <w:rFonts w:hint="default" w:ascii="Times New Roman" w:hAnsi="Times New Roman" w:eastAsia="仿宋_GB2312" w:cs="Times New Roman"/>
          <w:color w:val="auto"/>
          <w:kern w:val="2"/>
          <w:sz w:val="32"/>
          <w:szCs w:val="32"/>
          <w:lang w:val="en-US" w:eastAsia="zh-CN" w:bidi="ar-SA"/>
        </w:rPr>
        <w:t xml:space="preserve">km，江河堤防达标率 </w:t>
      </w:r>
      <w:r>
        <w:rPr>
          <w:rFonts w:hint="eastAsia" w:eastAsia="仿宋_GB2312" w:cs="Times New Roman"/>
          <w:color w:val="auto"/>
          <w:kern w:val="2"/>
          <w:sz w:val="32"/>
          <w:szCs w:val="32"/>
          <w:lang w:val="en-US" w:eastAsia="zh-CN" w:bidi="ar-SA"/>
        </w:rPr>
        <w:t>90</w:t>
      </w:r>
      <w:r>
        <w:rPr>
          <w:rFonts w:hint="default" w:ascii="Times New Roman" w:hAnsi="Times New Roman" w:eastAsia="仿宋_GB2312" w:cs="Times New Roman"/>
          <w:color w:val="auto"/>
          <w:kern w:val="2"/>
          <w:sz w:val="32"/>
          <w:szCs w:val="32"/>
          <w:lang w:val="en-US" w:eastAsia="zh-CN" w:bidi="ar-SA"/>
        </w:rPr>
        <w:t>%。</w:t>
      </w:r>
    </w:p>
    <w:bookmarkEnd w:id="117"/>
    <w:p w14:paraId="350D5D81">
      <w:pPr>
        <w:pStyle w:val="3"/>
        <w:spacing w:line="596" w:lineRule="exact"/>
        <w:rPr>
          <w:rFonts w:hint="default" w:ascii="Times New Roman" w:hAnsi="Times New Roman" w:cs="Times New Roman"/>
          <w:sz w:val="32"/>
          <w:szCs w:val="32"/>
        </w:rPr>
      </w:pPr>
      <w:bookmarkStart w:id="118" w:name="_Toc27489"/>
      <w:bookmarkStart w:id="119" w:name="_Toc14043"/>
      <w:bookmarkStart w:id="120" w:name="_Toc13933"/>
      <w:bookmarkStart w:id="121" w:name="_Toc21164"/>
      <w:bookmarkStart w:id="122" w:name="_Toc12507"/>
      <w:bookmarkStart w:id="123" w:name="_Toc12757"/>
      <w:bookmarkStart w:id="124" w:name="_Toc17922"/>
      <w:bookmarkStart w:id="125" w:name="_Toc31691"/>
      <w:bookmarkStart w:id="126" w:name="_Toc215129870"/>
      <w:bookmarkStart w:id="127" w:name="_Toc15610"/>
      <w:bookmarkStart w:id="128" w:name="_Toc27136"/>
      <w:bookmarkStart w:id="129" w:name="_Toc17094"/>
      <w:r>
        <w:rPr>
          <w:rFonts w:hint="default" w:ascii="Times New Roman" w:hAnsi="Times New Roman" w:cs="Times New Roman"/>
          <w:sz w:val="32"/>
          <w:szCs w:val="32"/>
          <w:lang w:val="en-US"/>
        </w:rPr>
        <w:t>存在的问题</w:t>
      </w:r>
      <w:bookmarkEnd w:id="118"/>
      <w:bookmarkEnd w:id="119"/>
      <w:bookmarkEnd w:id="120"/>
      <w:bookmarkEnd w:id="121"/>
      <w:bookmarkEnd w:id="122"/>
      <w:bookmarkEnd w:id="123"/>
      <w:bookmarkEnd w:id="124"/>
      <w:bookmarkEnd w:id="125"/>
      <w:bookmarkEnd w:id="126"/>
      <w:bookmarkEnd w:id="127"/>
      <w:bookmarkEnd w:id="128"/>
      <w:bookmarkEnd w:id="129"/>
    </w:p>
    <w:p w14:paraId="52B2CC82">
      <w:pPr>
        <w:pStyle w:val="5"/>
        <w:spacing w:after="0" w:line="596" w:lineRule="exact"/>
        <w:rPr>
          <w:rFonts w:hint="default" w:ascii="Times New Roman" w:hAnsi="Times New Roman" w:cs="Times New Roman"/>
          <w:sz w:val="32"/>
          <w:szCs w:val="32"/>
        </w:rPr>
      </w:pPr>
      <w:bookmarkStart w:id="130" w:name="_Hlk212192524"/>
      <w:r>
        <w:rPr>
          <w:rFonts w:hint="default" w:ascii="Times New Roman" w:hAnsi="Times New Roman" w:cs="Times New Roman"/>
          <w:sz w:val="32"/>
          <w:szCs w:val="32"/>
        </w:rPr>
        <w:t>防洪安全保障能力不足，防洪减灾体系存在明显短板</w:t>
      </w:r>
    </w:p>
    <w:p w14:paraId="6B2F2102">
      <w:pPr>
        <w:widowControl w:val="0"/>
        <w:spacing w:after="0" w:line="600" w:lineRule="exact"/>
        <w:ind w:left="0" w:leftChars="0"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沙湾地处峨眉山暴雨边缘，局地短时强降雨多发，山洪风险突出。大渡河干流无独立防洪控制性水库，沫溪河中小支流缺少骨干调蓄工程；</w:t>
      </w:r>
      <w:r>
        <w:rPr>
          <w:rFonts w:hint="eastAsia" w:eastAsia="仿宋_GB2312" w:cs="Times New Roman"/>
          <w:kern w:val="2"/>
          <w:sz w:val="32"/>
          <w:szCs w:val="32"/>
          <w:lang w:val="en-US" w:eastAsia="zh-CN" w:bidi="ar-SA"/>
        </w:rPr>
        <w:t>乡村</w:t>
      </w:r>
      <w:r>
        <w:rPr>
          <w:rFonts w:hint="default" w:ascii="Times New Roman" w:hAnsi="Times New Roman" w:eastAsia="仿宋_GB2312" w:cs="Times New Roman"/>
          <w:kern w:val="2"/>
          <w:sz w:val="32"/>
          <w:szCs w:val="32"/>
          <w:lang w:val="en-US" w:eastAsia="zh-CN" w:bidi="ar-SA"/>
        </w:rPr>
        <w:t>堤防未完全闭合，城乡结合部险工段多，汛期水毁修复频繁；沿大渡河布局化工、新材料园区，超标洪水防控压力大。沫溪河堤防标准偏低，防洪能力不足。</w:t>
      </w:r>
    </w:p>
    <w:p w14:paraId="49138980">
      <w:pPr>
        <w:widowControl w:val="0"/>
        <w:spacing w:after="0" w:line="600" w:lineRule="exact"/>
        <w:ind w:left="0" w:leftChars="0" w:firstLine="640" w:firstLineChars="200"/>
        <w:jc w:val="both"/>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全区现有山洪危险区 135 处，中风险8处，受威胁群众0.32万人。支流、偏远山沟监测点位不足，气象、水利监测数据未完全互通共享，预警精度有待提升。</w:t>
      </w:r>
    </w:p>
    <w:p w14:paraId="47488F36">
      <w:pPr>
        <w:pStyle w:val="5"/>
        <w:spacing w:after="0" w:line="596" w:lineRule="exact"/>
        <w:rPr>
          <w:rFonts w:hint="default" w:ascii="Times New Roman" w:hAnsi="Times New Roman" w:cs="Times New Roman"/>
          <w:sz w:val="32"/>
          <w:szCs w:val="32"/>
        </w:rPr>
      </w:pPr>
      <w:r>
        <w:rPr>
          <w:rFonts w:hint="default" w:ascii="Times New Roman" w:hAnsi="Times New Roman" w:cs="Times New Roman"/>
          <w:sz w:val="32"/>
          <w:szCs w:val="32"/>
        </w:rPr>
        <w:t>水资源供需矛盾突出，水资源调配能力不足</w:t>
      </w:r>
      <w:bookmarkEnd w:id="130"/>
    </w:p>
    <w:p w14:paraId="4862DB0A">
      <w:pPr>
        <w:widowControl w:val="0"/>
        <w:spacing w:after="0" w:line="600" w:lineRule="exact"/>
        <w:ind w:left="0" w:leftChars="0" w:firstLine="640" w:firstLineChars="200"/>
        <w:jc w:val="both"/>
        <w:rPr>
          <w:rFonts w:hint="default" w:ascii="Times New Roman" w:hAnsi="Times New Roman" w:eastAsia="仿宋_GB2312" w:cs="Times New Roman"/>
          <w:kern w:val="2"/>
          <w:sz w:val="32"/>
          <w:szCs w:val="32"/>
          <w:lang w:val="en-US" w:eastAsia="zh-CN" w:bidi="ar-SA"/>
        </w:rPr>
      </w:pPr>
      <w:bookmarkStart w:id="131" w:name="_Hlk212192547"/>
      <w:r>
        <w:rPr>
          <w:rFonts w:hint="default" w:ascii="Times New Roman" w:hAnsi="Times New Roman" w:eastAsia="仿宋_GB2312" w:cs="Times New Roman"/>
          <w:kern w:val="2"/>
          <w:sz w:val="32"/>
          <w:szCs w:val="32"/>
          <w:lang w:val="en-US" w:eastAsia="zh-CN" w:bidi="ar-SA"/>
        </w:rPr>
        <w:t>全区水资源开发利用率</w:t>
      </w:r>
      <w:r>
        <w:rPr>
          <w:rFonts w:hint="eastAsia" w:ascii="Times New Roman" w:hAnsi="Times New Roman" w:eastAsia="仿宋_GB2312" w:cs="Times New Roman"/>
          <w:kern w:val="2"/>
          <w:sz w:val="32"/>
          <w:szCs w:val="32"/>
          <w:lang w:val="en-US" w:eastAsia="zh-CN" w:bidi="ar-SA"/>
        </w:rPr>
        <w:t>较低</w:t>
      </w:r>
      <w:r>
        <w:rPr>
          <w:rFonts w:hint="default" w:ascii="Times New Roman" w:hAnsi="Times New Roman" w:eastAsia="仿宋_GB2312" w:cs="Times New Roman"/>
          <w:kern w:val="2"/>
          <w:sz w:val="32"/>
          <w:szCs w:val="32"/>
          <w:lang w:val="en-US" w:eastAsia="zh-CN" w:bidi="ar-SA"/>
        </w:rPr>
        <w:t>。区内以小型塘堰为主，缺少跨区域骨干调水工程。福禄、牛石、</w:t>
      </w:r>
      <w:r>
        <w:rPr>
          <w:rFonts w:hint="eastAsia" w:ascii="Times New Roman" w:hAnsi="Times New Roman" w:eastAsia="仿宋_GB2312" w:cs="Times New Roman"/>
          <w:kern w:val="2"/>
          <w:sz w:val="32"/>
          <w:szCs w:val="32"/>
          <w:lang w:val="en-US" w:eastAsia="zh-CN" w:bidi="ar-SA"/>
        </w:rPr>
        <w:t>太平中高山地区</w:t>
      </w:r>
      <w:r>
        <w:rPr>
          <w:rFonts w:hint="default" w:ascii="Times New Roman" w:hAnsi="Times New Roman" w:eastAsia="仿宋_GB2312" w:cs="Times New Roman"/>
          <w:kern w:val="2"/>
          <w:sz w:val="32"/>
          <w:szCs w:val="32"/>
          <w:lang w:val="en-US" w:eastAsia="zh-CN" w:bidi="ar-SA"/>
        </w:rPr>
        <w:t>工程性缺水、资源性缺水叠加</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耕地缺少稳定灌溉水源</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现代农业供水保障不足。</w:t>
      </w:r>
    </w:p>
    <w:bookmarkEnd w:id="131"/>
    <w:p w14:paraId="1CF0F616">
      <w:pPr>
        <w:pStyle w:val="5"/>
        <w:spacing w:after="0" w:line="596" w:lineRule="exact"/>
        <w:rPr>
          <w:rFonts w:hint="default" w:ascii="Times New Roman" w:hAnsi="Times New Roman" w:cs="Times New Roman"/>
          <w:sz w:val="32"/>
          <w:szCs w:val="32"/>
        </w:rPr>
      </w:pPr>
      <w:r>
        <w:rPr>
          <w:rFonts w:hint="default" w:ascii="Times New Roman" w:hAnsi="Times New Roman" w:cs="Times New Roman"/>
          <w:sz w:val="32"/>
          <w:szCs w:val="32"/>
        </w:rPr>
        <w:t>局部水生态本底脆弱，河湖生态治理亟待强化</w:t>
      </w:r>
    </w:p>
    <w:p w14:paraId="08130894">
      <w:pPr>
        <w:widowControl w:val="0"/>
        <w:spacing w:after="0" w:line="600" w:lineRule="exact"/>
        <w:ind w:left="0" w:leftChars="0"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 xml:space="preserve">全区水土流失面积 </w:t>
      </w:r>
      <w:r>
        <w:rPr>
          <w:rFonts w:hint="eastAsia" w:eastAsia="仿宋_GB2312" w:cs="Times New Roman"/>
          <w:kern w:val="2"/>
          <w:sz w:val="32"/>
          <w:szCs w:val="32"/>
          <w:lang w:val="en-US" w:eastAsia="zh-CN" w:bidi="ar-SA"/>
        </w:rPr>
        <w:t>204.67</w:t>
      </w:r>
      <w:r>
        <w:rPr>
          <w:rFonts w:hint="default" w:ascii="Times New Roman" w:hAnsi="Times New Roman" w:eastAsia="仿宋_GB2312" w:cs="Times New Roman"/>
          <w:kern w:val="2"/>
          <w:sz w:val="32"/>
          <w:szCs w:val="32"/>
          <w:lang w:val="en-US" w:eastAsia="zh-CN" w:bidi="ar-SA"/>
        </w:rPr>
        <w:t xml:space="preserve">km²，占幅员 </w:t>
      </w:r>
      <w:r>
        <w:rPr>
          <w:rFonts w:hint="eastAsia" w:eastAsia="仿宋_GB2312" w:cs="Times New Roman"/>
          <w:kern w:val="2"/>
          <w:sz w:val="32"/>
          <w:szCs w:val="32"/>
          <w:lang w:val="en-US" w:eastAsia="zh-CN" w:bidi="ar-SA"/>
        </w:rPr>
        <w:t>33.55</w:t>
      </w:r>
      <w:r>
        <w:rPr>
          <w:rFonts w:hint="default" w:ascii="Times New Roman" w:hAnsi="Times New Roman" w:eastAsia="仿宋_GB2312" w:cs="Times New Roman"/>
          <w:kern w:val="2"/>
          <w:sz w:val="32"/>
          <w:szCs w:val="32"/>
          <w:lang w:val="en-US" w:eastAsia="zh-CN" w:bidi="ar-SA"/>
        </w:rPr>
        <w:t>%，集中分布</w:t>
      </w:r>
      <w:r>
        <w:rPr>
          <w:rFonts w:hint="eastAsia" w:ascii="Times New Roman" w:hAnsi="Times New Roman" w:eastAsia="仿宋_GB2312" w:cs="Times New Roman"/>
          <w:kern w:val="2"/>
          <w:sz w:val="32"/>
          <w:szCs w:val="32"/>
          <w:lang w:val="en-US" w:eastAsia="zh-CN" w:bidi="ar-SA"/>
        </w:rPr>
        <w:t>福禄</w:t>
      </w:r>
      <w:r>
        <w:rPr>
          <w:rFonts w:hint="default" w:ascii="Times New Roman" w:hAnsi="Times New Roman" w:eastAsia="仿宋_GB2312" w:cs="Times New Roman"/>
          <w:kern w:val="2"/>
          <w:sz w:val="32"/>
          <w:szCs w:val="32"/>
          <w:lang w:val="en-US" w:eastAsia="zh-CN" w:bidi="ar-SA"/>
        </w:rPr>
        <w:t>、牛石、谭坝南部乡镇，属于市级重点治理区；铜茨、范店为生态预防区。沫溪河枯水期水质波动，部分河段存在岸线侵占、弃渣堆放；小型水电站生态流量监管存在薄弱环节，支流枯季基流不足；水文旅、古堰文化挖掘利用不足。</w:t>
      </w:r>
    </w:p>
    <w:p w14:paraId="14A5AC6E">
      <w:pPr>
        <w:pStyle w:val="5"/>
        <w:spacing w:after="0" w:line="596" w:lineRule="exact"/>
        <w:rPr>
          <w:rFonts w:hint="default" w:ascii="Times New Roman" w:hAnsi="Times New Roman" w:cs="Times New Roman"/>
          <w:sz w:val="32"/>
          <w:szCs w:val="32"/>
        </w:rPr>
      </w:pPr>
      <w:r>
        <w:rPr>
          <w:rFonts w:hint="default" w:ascii="Times New Roman" w:hAnsi="Times New Roman" w:cs="Times New Roman"/>
          <w:sz w:val="32"/>
          <w:szCs w:val="32"/>
        </w:rPr>
        <w:t>数字孪生水利建设滞后，智能化发展亟需系统推进</w:t>
      </w:r>
    </w:p>
    <w:p w14:paraId="1C9CC3D8">
      <w:pPr>
        <w:spacing w:after="0" w:line="596"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偏远山洪沟、小型水库监测设备老化，乡镇水厂自动化覆盖率不足；水利、农业、生态环境数据存在壁垒，水文调度专业模型不完善；防洪、水资源、河湖管理系统分散建设，跨业务智能决策支撑薄弱。</w:t>
      </w:r>
    </w:p>
    <w:p w14:paraId="3D6AA5FA">
      <w:pPr>
        <w:pStyle w:val="5"/>
        <w:spacing w:after="0" w:line="596" w:lineRule="exact"/>
        <w:rPr>
          <w:rFonts w:hint="default" w:ascii="Times New Roman" w:hAnsi="Times New Roman" w:cs="Times New Roman"/>
          <w:sz w:val="32"/>
          <w:szCs w:val="32"/>
        </w:rPr>
      </w:pPr>
      <w:bookmarkStart w:id="132" w:name="_Hlk212193587"/>
      <w:r>
        <w:rPr>
          <w:rFonts w:hint="default" w:ascii="Times New Roman" w:hAnsi="Times New Roman" w:cs="Times New Roman"/>
          <w:sz w:val="32"/>
          <w:szCs w:val="32"/>
        </w:rPr>
        <w:t>行业治理体系不健全，现代化水治理能力有待增强</w:t>
      </w:r>
      <w:bookmarkEnd w:id="132"/>
    </w:p>
    <w:p w14:paraId="0599A2A8">
      <w:pPr>
        <w:spacing w:after="0" w:line="596"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基层水利站人员、运维经费短缺，小型水利工程 “重建轻管” 问题未根治；节水考核、水资源刚性约束落地不严；水行政执法数字化装备不足，传统人工巡查效率低。</w:t>
      </w:r>
    </w:p>
    <w:p w14:paraId="6D49A5B9">
      <w:pPr>
        <w:pStyle w:val="3"/>
        <w:spacing w:line="600" w:lineRule="exact"/>
        <w:rPr>
          <w:rFonts w:hint="default" w:ascii="Times New Roman" w:hAnsi="Times New Roman" w:cs="Times New Roman"/>
          <w:sz w:val="32"/>
          <w:szCs w:val="32"/>
        </w:rPr>
      </w:pPr>
      <w:bookmarkStart w:id="133" w:name="_Toc14401"/>
      <w:bookmarkStart w:id="134" w:name="_Toc20748"/>
      <w:bookmarkStart w:id="135" w:name="_Toc27063"/>
      <w:bookmarkStart w:id="136" w:name="_Toc27314"/>
      <w:bookmarkStart w:id="137" w:name="_Toc9728"/>
      <w:bookmarkStart w:id="138" w:name="_Toc29230"/>
      <w:bookmarkStart w:id="139" w:name="_Toc12243"/>
      <w:bookmarkStart w:id="140" w:name="_Toc29513"/>
      <w:bookmarkStart w:id="141" w:name="_Toc29015"/>
      <w:bookmarkStart w:id="142" w:name="_Toc15715"/>
      <w:bookmarkStart w:id="143" w:name="_Toc20062"/>
      <w:bookmarkStart w:id="144" w:name="_Toc215129871"/>
      <w:bookmarkStart w:id="145" w:name="_Toc814211297"/>
      <w:r>
        <w:rPr>
          <w:rFonts w:hint="default" w:ascii="Times New Roman" w:hAnsi="Times New Roman" w:cs="Times New Roman"/>
          <w:sz w:val="32"/>
          <w:szCs w:val="32"/>
        </w:rPr>
        <w:t>“</w:t>
      </w:r>
      <w:r>
        <w:rPr>
          <w:rFonts w:hint="default" w:ascii="Times New Roman" w:hAnsi="Times New Roman" w:cs="Times New Roman"/>
          <w:sz w:val="32"/>
          <w:szCs w:val="32"/>
          <w:lang w:val="en-US"/>
        </w:rPr>
        <w:t>十五五</w:t>
      </w:r>
      <w:r>
        <w:rPr>
          <w:rFonts w:hint="default" w:ascii="Times New Roman" w:hAnsi="Times New Roman" w:cs="Times New Roman"/>
          <w:sz w:val="32"/>
          <w:szCs w:val="32"/>
        </w:rPr>
        <w:t>”</w:t>
      </w:r>
      <w:r>
        <w:rPr>
          <w:rFonts w:hint="default" w:ascii="Times New Roman" w:hAnsi="Times New Roman" w:cs="Times New Roman"/>
          <w:sz w:val="32"/>
          <w:szCs w:val="32"/>
          <w:lang w:val="en-US"/>
        </w:rPr>
        <w:t>水安全保障</w:t>
      </w:r>
      <w:r>
        <w:rPr>
          <w:rFonts w:hint="default" w:ascii="Times New Roman" w:hAnsi="Times New Roman" w:cs="Times New Roman"/>
          <w:sz w:val="32"/>
          <w:szCs w:val="32"/>
        </w:rPr>
        <w:t>面临的形势</w:t>
      </w:r>
      <w:bookmarkEnd w:id="133"/>
      <w:bookmarkEnd w:id="134"/>
      <w:bookmarkEnd w:id="135"/>
      <w:bookmarkEnd w:id="136"/>
      <w:bookmarkEnd w:id="137"/>
      <w:bookmarkEnd w:id="138"/>
      <w:bookmarkEnd w:id="139"/>
      <w:bookmarkEnd w:id="140"/>
      <w:bookmarkEnd w:id="141"/>
      <w:bookmarkEnd w:id="142"/>
      <w:bookmarkEnd w:id="143"/>
    </w:p>
    <w:p w14:paraId="24F6A3EB">
      <w:pPr>
        <w:keepNext/>
        <w:keepLines/>
        <w:widowControl w:val="0"/>
        <w:spacing w:after="0" w:line="596" w:lineRule="exact"/>
        <w:ind w:left="1007" w:leftChars="0" w:hanging="440" w:firstLineChars="0"/>
        <w:jc w:val="both"/>
        <w:outlineLvl w:val="2"/>
        <w:rPr>
          <w:rFonts w:hint="default" w:ascii="Times New Roman" w:hAnsi="Times New Roman" w:eastAsia="楷体_GB2312" w:cs="Times New Roman"/>
          <w:b/>
          <w:kern w:val="2"/>
          <w:sz w:val="32"/>
          <w:szCs w:val="32"/>
          <w:lang w:val="en-US" w:eastAsia="zh-CN" w:bidi="ar-SA"/>
        </w:rPr>
      </w:pPr>
      <w:bookmarkStart w:id="146" w:name="heading_18"/>
      <w:r>
        <w:rPr>
          <w:rFonts w:hint="default" w:ascii="Times New Roman" w:hAnsi="Times New Roman" w:eastAsia="楷体_GB2312" w:cs="Times New Roman"/>
          <w:b/>
          <w:kern w:val="2"/>
          <w:sz w:val="32"/>
          <w:szCs w:val="32"/>
          <w:lang w:val="en-US" w:eastAsia="zh-CN" w:bidi="ar-SA"/>
        </w:rPr>
        <w:t>（一）国家治水战略提供根本遵循</w:t>
      </w:r>
      <w:bookmarkEnd w:id="146"/>
    </w:p>
    <w:p w14:paraId="4D74F61A">
      <w:pPr>
        <w:widowControl w:val="0"/>
        <w:spacing w:after="0" w:line="600" w:lineRule="exact"/>
        <w:ind w:left="420" w:leftChars="200"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习近平总书记 “节水优先、空间均衡、系统治理、两手发力” 十六字治水思路、长江经济带、国家现代水网、成渝双城经济圈等重大战略，为沙湾水利高质量发展指明路径。《国家</w:t>
      </w:r>
      <w:r>
        <w:rPr>
          <w:rFonts w:hint="eastAsia" w:eastAsia="仿宋_GB2312" w:cs="Times New Roman"/>
          <w:kern w:val="2"/>
          <w:sz w:val="32"/>
          <w:szCs w:val="32"/>
          <w:lang w:val="en-US" w:eastAsia="zh-CN" w:bidi="ar-SA"/>
        </w:rPr>
        <w:t>“</w:t>
      </w:r>
      <w:bookmarkStart w:id="374" w:name="_GoBack"/>
      <w:r>
        <w:rPr>
          <w:rFonts w:hint="default" w:ascii="Times New Roman" w:hAnsi="Times New Roman" w:eastAsia="仿宋_GB2312" w:cs="Times New Roman"/>
          <w:kern w:val="2"/>
          <w:sz w:val="32"/>
          <w:szCs w:val="32"/>
          <w:lang w:val="en-US" w:eastAsia="zh-CN" w:bidi="ar-SA"/>
        </w:rPr>
        <w:t>十五五</w:t>
      </w:r>
      <w:bookmarkEnd w:id="374"/>
      <w:r>
        <w:rPr>
          <w:rFonts w:hint="eastAsia"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规划纲要》明确现代水网建设重点任务，沙湾区必须对标落实，补齐水安全短板。</w:t>
      </w:r>
    </w:p>
    <w:p w14:paraId="704A1E6E">
      <w:pPr>
        <w:keepNext/>
        <w:keepLines/>
        <w:widowControl w:val="0"/>
        <w:spacing w:after="0" w:line="596" w:lineRule="exact"/>
        <w:ind w:left="1007" w:leftChars="0" w:hanging="440" w:firstLineChars="0"/>
        <w:jc w:val="both"/>
        <w:outlineLvl w:val="2"/>
        <w:rPr>
          <w:rFonts w:hint="default" w:ascii="Times New Roman" w:hAnsi="Times New Roman" w:eastAsia="楷体_GB2312" w:cs="Times New Roman"/>
          <w:b/>
          <w:kern w:val="2"/>
          <w:sz w:val="32"/>
          <w:szCs w:val="32"/>
          <w:lang w:val="en-US" w:eastAsia="zh-CN" w:bidi="ar-SA"/>
        </w:rPr>
      </w:pPr>
      <w:bookmarkStart w:id="147" w:name="heading_19"/>
      <w:r>
        <w:rPr>
          <w:rFonts w:hint="default" w:ascii="Times New Roman" w:hAnsi="Times New Roman" w:eastAsia="楷体_GB2312" w:cs="Times New Roman"/>
          <w:b/>
          <w:kern w:val="2"/>
          <w:sz w:val="32"/>
          <w:szCs w:val="32"/>
          <w:lang w:val="en-US" w:eastAsia="zh-CN" w:bidi="ar-SA"/>
        </w:rPr>
        <w:t>（二）省市战略赋予沙湾水利新使命</w:t>
      </w:r>
      <w:bookmarkEnd w:id="147"/>
    </w:p>
    <w:p w14:paraId="75B006D4">
      <w:pPr>
        <w:widowControl w:val="0"/>
        <w:spacing w:after="0" w:line="600" w:lineRule="exact"/>
        <w:ind w:left="420" w:leftChars="200"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四川省、乐山市提出打造中国绿色硅谷、世界旅游目的地，沙湾区作为国家级先进材料产业示范基地，承担工业供水、生态修复、乡村灌溉多重任务，水利是支撑全区产业发展核心基础保障。</w:t>
      </w:r>
    </w:p>
    <w:p w14:paraId="2755BD7B">
      <w:pPr>
        <w:keepNext/>
        <w:keepLines/>
        <w:widowControl w:val="0"/>
        <w:spacing w:after="0" w:line="596" w:lineRule="exact"/>
        <w:ind w:left="1007" w:leftChars="0" w:hanging="440" w:firstLineChars="0"/>
        <w:jc w:val="both"/>
        <w:outlineLvl w:val="2"/>
        <w:rPr>
          <w:rFonts w:hint="default" w:ascii="Times New Roman" w:hAnsi="Times New Roman" w:eastAsia="楷体_GB2312" w:cs="Times New Roman"/>
          <w:b/>
          <w:kern w:val="2"/>
          <w:sz w:val="32"/>
          <w:szCs w:val="32"/>
          <w:lang w:val="en-US" w:eastAsia="zh-CN" w:bidi="ar-SA"/>
        </w:rPr>
      </w:pPr>
      <w:bookmarkStart w:id="148" w:name="heading_20"/>
      <w:r>
        <w:rPr>
          <w:rFonts w:hint="default" w:ascii="Times New Roman" w:hAnsi="Times New Roman" w:eastAsia="楷体_GB2312" w:cs="Times New Roman"/>
          <w:b/>
          <w:kern w:val="2"/>
          <w:sz w:val="32"/>
          <w:szCs w:val="32"/>
          <w:lang w:val="en-US" w:eastAsia="zh-CN" w:bidi="ar-SA"/>
        </w:rPr>
        <w:t>（三）沙湾自身发展提出更高水安全要求</w:t>
      </w:r>
      <w:bookmarkEnd w:id="148"/>
    </w:p>
    <w:p w14:paraId="04E50712">
      <w:pPr>
        <w:widowControl w:val="0"/>
        <w:spacing w:after="0" w:line="600" w:lineRule="exact"/>
        <w:ind w:left="420" w:leftChars="200"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沙湾核心发展任务为建设沫若文化名城、全国先进材料生产基地、国家现代特色农业示范区，工业集中用水、文旅景观用水、现代农业灌溉、群众生活用水需求同步增长；大渡河干流生态廊道、沫若滨水文旅项目、灌区高标准农田建设，对防洪、供水、水生态、水文化提出更高标准，亟需全域完善现代化水安全保障体系。</w:t>
      </w:r>
    </w:p>
    <w:p w14:paraId="302CA5EC">
      <w:pPr>
        <w:spacing w:after="0" w:line="560" w:lineRule="exact"/>
        <w:rPr>
          <w:rFonts w:hint="default" w:ascii="Times New Roman" w:hAnsi="Times New Roman" w:eastAsia="仿宋_GB2312" w:cs="Times New Roman"/>
          <w:sz w:val="32"/>
          <w:szCs w:val="32"/>
        </w:rPr>
      </w:pPr>
      <w:bookmarkStart w:id="149" w:name="_Toc154673842"/>
    </w:p>
    <w:p w14:paraId="29785F4E">
      <w:pPr>
        <w:spacing w:after="0" w:line="560" w:lineRule="exact"/>
        <w:ind w:firstLine="640" w:firstLineChars="200"/>
        <w:rPr>
          <w:rFonts w:hint="default" w:ascii="Times New Roman" w:hAnsi="Times New Roman" w:eastAsia="仿宋_GB2312" w:cs="Times New Roman"/>
          <w:sz w:val="32"/>
          <w:szCs w:val="32"/>
        </w:rPr>
        <w:sectPr>
          <w:headerReference r:id="rId8" w:type="default"/>
          <w:footerReference r:id="rId10" w:type="default"/>
          <w:headerReference r:id="rId9" w:type="even"/>
          <w:pgSz w:w="11906" w:h="16838"/>
          <w:pgMar w:top="1616" w:right="1418" w:bottom="1616" w:left="1418" w:header="851" w:footer="850" w:gutter="0"/>
          <w:pgNumType w:start="1"/>
          <w:cols w:space="720" w:num="1"/>
          <w:docGrid w:type="lines" w:linePitch="381" w:charSpace="0"/>
        </w:sectPr>
      </w:pPr>
    </w:p>
    <w:bookmarkEnd w:id="149"/>
    <w:p w14:paraId="31CEA6E0">
      <w:pPr>
        <w:pStyle w:val="2"/>
        <w:spacing w:after="340" w:line="600" w:lineRule="exact"/>
        <w:rPr>
          <w:rFonts w:hint="default" w:ascii="Times New Roman" w:hAnsi="Times New Roman" w:cs="Times New Roman"/>
          <w:sz w:val="36"/>
          <w:szCs w:val="36"/>
        </w:rPr>
      </w:pPr>
      <w:bookmarkStart w:id="150" w:name="_Toc26602"/>
      <w:bookmarkStart w:id="151" w:name="_Toc5131"/>
      <w:bookmarkStart w:id="152" w:name="_Toc20590"/>
      <w:bookmarkStart w:id="153" w:name="_Toc16533"/>
      <w:bookmarkStart w:id="154" w:name="_Toc24737"/>
      <w:bookmarkStart w:id="155" w:name="_Toc2120"/>
      <w:bookmarkStart w:id="156" w:name="_Toc3319"/>
      <w:bookmarkStart w:id="157" w:name="_Toc18156"/>
      <w:bookmarkStart w:id="158" w:name="_Toc21129"/>
      <w:bookmarkStart w:id="159" w:name="_Toc27735"/>
      <w:bookmarkStart w:id="160" w:name="_Toc15528"/>
      <w:r>
        <w:rPr>
          <w:rFonts w:hint="default" w:ascii="Times New Roman" w:hAnsi="Times New Roman" w:cs="Times New Roman"/>
          <w:sz w:val="36"/>
          <w:szCs w:val="36"/>
        </w:rPr>
        <w:t>总体</w:t>
      </w:r>
      <w:bookmarkEnd w:id="144"/>
      <w:bookmarkEnd w:id="145"/>
      <w:r>
        <w:rPr>
          <w:rFonts w:hint="default" w:ascii="Times New Roman" w:hAnsi="Times New Roman" w:cs="Times New Roman"/>
          <w:sz w:val="36"/>
          <w:szCs w:val="36"/>
          <w:lang w:val="en-US"/>
        </w:rPr>
        <w:t>要求</w:t>
      </w:r>
      <w:bookmarkEnd w:id="150"/>
      <w:bookmarkEnd w:id="151"/>
      <w:bookmarkEnd w:id="152"/>
      <w:bookmarkEnd w:id="153"/>
      <w:bookmarkEnd w:id="154"/>
      <w:bookmarkEnd w:id="155"/>
      <w:bookmarkEnd w:id="156"/>
      <w:bookmarkEnd w:id="157"/>
      <w:bookmarkEnd w:id="158"/>
      <w:bookmarkEnd w:id="159"/>
      <w:bookmarkEnd w:id="160"/>
    </w:p>
    <w:p w14:paraId="7D1CFB5E">
      <w:pPr>
        <w:pStyle w:val="3"/>
        <w:spacing w:line="600" w:lineRule="exact"/>
        <w:rPr>
          <w:rFonts w:hint="default" w:ascii="Times New Roman" w:hAnsi="Times New Roman" w:cs="Times New Roman"/>
          <w:sz w:val="32"/>
          <w:szCs w:val="32"/>
        </w:rPr>
      </w:pPr>
      <w:bookmarkStart w:id="161" w:name="_Toc9988"/>
      <w:bookmarkStart w:id="162" w:name="_Toc30206"/>
      <w:bookmarkStart w:id="163" w:name="_Toc6166"/>
      <w:bookmarkStart w:id="164" w:name="_Toc29868"/>
      <w:bookmarkStart w:id="165" w:name="_Toc1062747388"/>
      <w:bookmarkStart w:id="166" w:name="_Toc2905"/>
      <w:bookmarkStart w:id="167" w:name="_Toc16398"/>
      <w:bookmarkStart w:id="168" w:name="_Toc25106"/>
      <w:bookmarkStart w:id="169" w:name="_Toc31668"/>
      <w:bookmarkStart w:id="170" w:name="_Toc8548"/>
      <w:bookmarkStart w:id="171" w:name="_Toc215129872"/>
      <w:bookmarkStart w:id="172" w:name="_Toc15153"/>
      <w:bookmarkStart w:id="173" w:name="_Toc24303"/>
      <w:r>
        <w:rPr>
          <w:rFonts w:hint="default" w:ascii="Times New Roman" w:hAnsi="Times New Roman" w:cs="Times New Roman"/>
          <w:sz w:val="32"/>
          <w:szCs w:val="32"/>
        </w:rPr>
        <w:t>指导思想</w:t>
      </w:r>
      <w:bookmarkEnd w:id="161"/>
      <w:bookmarkEnd w:id="162"/>
      <w:bookmarkEnd w:id="163"/>
      <w:bookmarkEnd w:id="164"/>
      <w:bookmarkEnd w:id="165"/>
      <w:bookmarkEnd w:id="166"/>
      <w:bookmarkEnd w:id="167"/>
      <w:bookmarkEnd w:id="168"/>
      <w:bookmarkEnd w:id="169"/>
      <w:bookmarkEnd w:id="170"/>
      <w:bookmarkEnd w:id="171"/>
      <w:bookmarkEnd w:id="172"/>
      <w:bookmarkEnd w:id="173"/>
    </w:p>
    <w:p w14:paraId="5C05515D">
      <w:pPr>
        <w:pStyle w:val="4"/>
        <w:spacing w:after="0" w:line="600" w:lineRule="exact"/>
        <w:ind w:firstLine="640"/>
        <w:rPr>
          <w:rFonts w:hint="default" w:ascii="Times New Roman" w:hAnsi="Times New Roman" w:cs="Times New Roman"/>
          <w:sz w:val="32"/>
          <w:szCs w:val="21"/>
        </w:rPr>
      </w:pPr>
      <w:r>
        <w:rPr>
          <w:rFonts w:hint="default" w:ascii="Times New Roman" w:hAnsi="Times New Roman" w:cs="Times New Roman"/>
          <w:sz w:val="32"/>
          <w:szCs w:val="21"/>
        </w:rPr>
        <w:t>以习近平新时代中国特色社会主义思想为指导，全面贯彻党的二十大及二十届历次全会精神，落实习近平总书记治水重要论述、对四川工作重要指示，完整准确全面贯彻新发展理念，统筹高质量发展与高水平安全，紧扣国家江河战略、长江经济带、成渝双城经济圈，对标省委 “四化同步、城乡融合、五区共兴”、</w:t>
      </w:r>
      <w:r>
        <w:rPr>
          <w:rFonts w:hint="eastAsia" w:ascii="Times New Roman" w:cs="Times New Roman"/>
          <w:sz w:val="32"/>
          <w:szCs w:val="21"/>
          <w:lang w:val="en-US" w:eastAsia="zh-CN"/>
        </w:rPr>
        <w:t>沙湾区</w:t>
      </w:r>
      <w:r>
        <w:rPr>
          <w:rFonts w:hint="default" w:ascii="Times New Roman" w:hAnsi="Times New Roman" w:cs="Times New Roman"/>
          <w:sz w:val="32"/>
          <w:szCs w:val="21"/>
        </w:rPr>
        <w:t>发展定位，以全面提升沙湾区全域水安全保障能力为主线，为建设沫若文化名城、全国先进材料生产基地、国家现代特色农业示范区提供坚实水利支撑。</w:t>
      </w:r>
    </w:p>
    <w:p w14:paraId="614D7BEA">
      <w:pPr>
        <w:pStyle w:val="3"/>
        <w:spacing w:line="600" w:lineRule="exact"/>
        <w:rPr>
          <w:rFonts w:hint="default" w:ascii="Times New Roman" w:hAnsi="Times New Roman" w:cs="Times New Roman"/>
          <w:sz w:val="32"/>
          <w:szCs w:val="32"/>
        </w:rPr>
      </w:pPr>
      <w:bookmarkStart w:id="174" w:name="_Toc14689"/>
      <w:bookmarkStart w:id="175" w:name="_Toc19479"/>
      <w:bookmarkStart w:id="176" w:name="_Toc311"/>
      <w:bookmarkStart w:id="177" w:name="_Toc15000"/>
      <w:bookmarkStart w:id="178" w:name="_Toc24479"/>
      <w:bookmarkStart w:id="179" w:name="_Toc11344"/>
      <w:bookmarkStart w:id="180" w:name="_Toc23722"/>
      <w:bookmarkStart w:id="181" w:name="_Toc4432"/>
      <w:bookmarkStart w:id="182" w:name="_Toc215129873"/>
      <w:bookmarkStart w:id="183" w:name="_Toc30228"/>
      <w:bookmarkStart w:id="184" w:name="_Toc31485"/>
      <w:bookmarkStart w:id="185" w:name="_Toc21326"/>
      <w:r>
        <w:rPr>
          <w:rFonts w:hint="default" w:ascii="Times New Roman" w:hAnsi="Times New Roman" w:cs="Times New Roman"/>
          <w:sz w:val="32"/>
          <w:szCs w:val="32"/>
        </w:rPr>
        <w:t>基本原则</w:t>
      </w:r>
      <w:bookmarkEnd w:id="174"/>
      <w:bookmarkEnd w:id="175"/>
      <w:bookmarkEnd w:id="176"/>
      <w:bookmarkEnd w:id="177"/>
      <w:bookmarkEnd w:id="178"/>
      <w:bookmarkEnd w:id="179"/>
      <w:bookmarkEnd w:id="180"/>
      <w:bookmarkEnd w:id="181"/>
      <w:bookmarkEnd w:id="182"/>
      <w:bookmarkEnd w:id="183"/>
      <w:bookmarkEnd w:id="184"/>
      <w:bookmarkEnd w:id="185"/>
    </w:p>
    <w:p w14:paraId="0114CAA0">
      <w:pPr>
        <w:pStyle w:val="4"/>
        <w:spacing w:after="0" w:line="600" w:lineRule="exact"/>
        <w:ind w:firstLine="640"/>
        <w:rPr>
          <w:rFonts w:hint="default" w:ascii="Times New Roman" w:hAnsi="Times New Roman" w:cs="Times New Roman"/>
          <w:sz w:val="32"/>
          <w:szCs w:val="21"/>
          <w:lang w:val="zh-CN"/>
        </w:rPr>
      </w:pPr>
      <w:r>
        <w:rPr>
          <w:rFonts w:hint="default" w:ascii="Times New Roman" w:hAnsi="Times New Roman" w:eastAsia="楷体_GB2312" w:cs="Times New Roman"/>
          <w:sz w:val="32"/>
          <w:szCs w:val="21"/>
        </w:rPr>
        <w:t>以人为本，民生为重。</w:t>
      </w:r>
      <w:r>
        <w:rPr>
          <w:rFonts w:hint="default" w:ascii="Times New Roman" w:hAnsi="Times New Roman" w:cs="Times New Roman"/>
          <w:sz w:val="32"/>
          <w:szCs w:val="21"/>
          <w:lang w:val="zh-CN"/>
        </w:rPr>
        <w:t>牢固树立以人民为中心的发展思想，</w:t>
      </w:r>
      <w:r>
        <w:rPr>
          <w:rFonts w:hint="default" w:ascii="Times New Roman" w:hAnsi="Times New Roman" w:cs="Times New Roman"/>
          <w:sz w:val="32"/>
          <w:szCs w:val="21"/>
        </w:rPr>
        <w:t>聚焦</w:t>
      </w:r>
      <w:r>
        <w:rPr>
          <w:rFonts w:hint="default" w:ascii="Times New Roman" w:hAnsi="Times New Roman" w:cs="Times New Roman"/>
          <w:sz w:val="32"/>
          <w:szCs w:val="21"/>
          <w:lang w:val="zh-CN"/>
        </w:rPr>
        <w:t>人民群众最关心、最直接、最现实的防洪、供水、灌溉、生态环境等</w:t>
      </w:r>
      <w:r>
        <w:rPr>
          <w:rFonts w:hint="default" w:ascii="Times New Roman" w:hAnsi="Times New Roman" w:cs="Times New Roman"/>
          <w:sz w:val="32"/>
          <w:szCs w:val="21"/>
        </w:rPr>
        <w:t>核心</w:t>
      </w:r>
      <w:r>
        <w:rPr>
          <w:rFonts w:hint="default" w:ascii="Times New Roman" w:hAnsi="Times New Roman" w:cs="Times New Roman"/>
          <w:sz w:val="32"/>
          <w:szCs w:val="21"/>
          <w:lang w:val="zh-CN"/>
        </w:rPr>
        <w:t>需求，</w:t>
      </w:r>
      <w:r>
        <w:rPr>
          <w:rFonts w:hint="default" w:ascii="Times New Roman" w:hAnsi="Times New Roman" w:cs="Times New Roman"/>
          <w:sz w:val="32"/>
          <w:szCs w:val="21"/>
        </w:rPr>
        <w:t>持续强化</w:t>
      </w:r>
      <w:r>
        <w:rPr>
          <w:rFonts w:hint="default" w:ascii="Times New Roman" w:hAnsi="Times New Roman" w:cs="Times New Roman"/>
          <w:sz w:val="32"/>
          <w:szCs w:val="21"/>
          <w:lang w:val="zh-CN"/>
        </w:rPr>
        <w:t>水利基础设施建设，提升水利基本公共服务</w:t>
      </w:r>
      <w:r>
        <w:rPr>
          <w:rFonts w:hint="default" w:ascii="Times New Roman" w:hAnsi="Times New Roman" w:cs="Times New Roman"/>
          <w:sz w:val="32"/>
          <w:szCs w:val="21"/>
        </w:rPr>
        <w:t>均等化</w:t>
      </w:r>
      <w:r>
        <w:rPr>
          <w:rFonts w:hint="default" w:ascii="Times New Roman" w:hAnsi="Times New Roman" w:cs="Times New Roman"/>
          <w:sz w:val="32"/>
          <w:szCs w:val="21"/>
          <w:lang w:val="zh-CN"/>
        </w:rPr>
        <w:t>水平，</w:t>
      </w:r>
      <w:r>
        <w:rPr>
          <w:rFonts w:hint="default" w:ascii="Times New Roman" w:hAnsi="Times New Roman" w:cs="Times New Roman"/>
          <w:sz w:val="32"/>
          <w:szCs w:val="21"/>
        </w:rPr>
        <w:t>不断增进</w:t>
      </w:r>
      <w:r>
        <w:rPr>
          <w:rFonts w:hint="default" w:ascii="Times New Roman" w:hAnsi="Times New Roman" w:cs="Times New Roman"/>
          <w:sz w:val="32"/>
          <w:szCs w:val="21"/>
          <w:lang w:val="zh-CN"/>
        </w:rPr>
        <w:t>民生福祉，</w:t>
      </w:r>
      <w:r>
        <w:rPr>
          <w:rFonts w:hint="default" w:ascii="Times New Roman" w:hAnsi="Times New Roman" w:cs="Times New Roman"/>
          <w:sz w:val="32"/>
          <w:szCs w:val="21"/>
        </w:rPr>
        <w:t>推动</w:t>
      </w:r>
      <w:r>
        <w:rPr>
          <w:rFonts w:hint="default" w:ascii="Times New Roman" w:hAnsi="Times New Roman" w:cs="Times New Roman"/>
          <w:sz w:val="32"/>
          <w:szCs w:val="21"/>
          <w:lang w:val="zh-CN"/>
        </w:rPr>
        <w:t>水利改革发展成果更多更公平惠及民生。</w:t>
      </w:r>
    </w:p>
    <w:p w14:paraId="5A35D7D5">
      <w:pPr>
        <w:pStyle w:val="4"/>
        <w:spacing w:after="0" w:line="600" w:lineRule="exact"/>
        <w:ind w:firstLine="640"/>
        <w:rPr>
          <w:rFonts w:hint="default" w:ascii="Times New Roman" w:hAnsi="Times New Roman" w:cs="Times New Roman"/>
          <w:sz w:val="32"/>
          <w:szCs w:val="21"/>
          <w:lang w:val="zh-CN"/>
        </w:rPr>
      </w:pPr>
      <w:r>
        <w:rPr>
          <w:rFonts w:hint="default" w:ascii="Times New Roman" w:hAnsi="Times New Roman" w:eastAsia="楷体_GB2312" w:cs="Times New Roman"/>
          <w:sz w:val="32"/>
          <w:szCs w:val="21"/>
        </w:rPr>
        <w:t>节水优先、高效利用。</w:t>
      </w:r>
      <w:r>
        <w:rPr>
          <w:rFonts w:hint="default" w:ascii="Times New Roman" w:hAnsi="Times New Roman" w:cs="Times New Roman"/>
          <w:sz w:val="32"/>
          <w:szCs w:val="21"/>
          <w:lang w:val="zh-CN"/>
        </w:rPr>
        <w:t>坚持节水优先</w:t>
      </w:r>
      <w:r>
        <w:rPr>
          <w:rFonts w:hint="default" w:ascii="Times New Roman" w:hAnsi="Times New Roman" w:cs="Times New Roman"/>
          <w:sz w:val="32"/>
          <w:szCs w:val="21"/>
        </w:rPr>
        <w:t>理念</w:t>
      </w:r>
      <w:r>
        <w:rPr>
          <w:rFonts w:hint="default" w:ascii="Times New Roman" w:hAnsi="Times New Roman" w:cs="Times New Roman"/>
          <w:sz w:val="32"/>
          <w:szCs w:val="21"/>
          <w:lang w:val="zh-CN"/>
        </w:rPr>
        <w:t>，把水资源作为先导性、控制性、约束性要素，坚持以水而定、量水而行，</w:t>
      </w:r>
      <w:r>
        <w:rPr>
          <w:rFonts w:hint="default" w:ascii="Times New Roman" w:hAnsi="Times New Roman" w:cs="Times New Roman"/>
          <w:sz w:val="32"/>
          <w:szCs w:val="21"/>
        </w:rPr>
        <w:t>严格</w:t>
      </w:r>
      <w:r>
        <w:rPr>
          <w:rFonts w:hint="default" w:ascii="Times New Roman" w:hAnsi="Times New Roman" w:cs="Times New Roman"/>
          <w:sz w:val="32"/>
          <w:szCs w:val="21"/>
          <w:lang w:val="zh-CN"/>
        </w:rPr>
        <w:t>落实水资源刚性约束制度，强化用水总量和强度双控</w:t>
      </w:r>
      <w:r>
        <w:rPr>
          <w:rFonts w:hint="default" w:ascii="Times New Roman" w:hAnsi="Times New Roman" w:cs="Times New Roman"/>
          <w:sz w:val="32"/>
          <w:szCs w:val="21"/>
        </w:rPr>
        <w:t>目标管理</w:t>
      </w:r>
      <w:r>
        <w:rPr>
          <w:rFonts w:hint="default" w:ascii="Times New Roman" w:hAnsi="Times New Roman" w:cs="Times New Roman"/>
          <w:sz w:val="32"/>
          <w:szCs w:val="21"/>
          <w:lang w:val="zh-CN"/>
        </w:rPr>
        <w:t>，健全节水制度政策体系，全面提</w:t>
      </w:r>
      <w:r>
        <w:rPr>
          <w:rFonts w:hint="default" w:ascii="Times New Roman" w:hAnsi="Times New Roman" w:cs="Times New Roman"/>
          <w:sz w:val="32"/>
          <w:szCs w:val="21"/>
        </w:rPr>
        <w:t>升</w:t>
      </w:r>
      <w:r>
        <w:rPr>
          <w:rFonts w:hint="default" w:ascii="Times New Roman" w:hAnsi="Times New Roman" w:cs="Times New Roman"/>
          <w:sz w:val="32"/>
          <w:szCs w:val="21"/>
          <w:lang w:val="zh-CN"/>
        </w:rPr>
        <w:t>水资源利用效率和</w:t>
      </w:r>
      <w:r>
        <w:rPr>
          <w:rFonts w:hint="default" w:ascii="Times New Roman" w:hAnsi="Times New Roman" w:cs="Times New Roman"/>
          <w:sz w:val="32"/>
          <w:szCs w:val="21"/>
        </w:rPr>
        <w:t>综合</w:t>
      </w:r>
      <w:r>
        <w:rPr>
          <w:rFonts w:hint="default" w:ascii="Times New Roman" w:hAnsi="Times New Roman" w:cs="Times New Roman"/>
          <w:sz w:val="32"/>
          <w:szCs w:val="21"/>
          <w:lang w:val="zh-CN"/>
        </w:rPr>
        <w:t>效益。</w:t>
      </w:r>
    </w:p>
    <w:p w14:paraId="447C4420">
      <w:pPr>
        <w:pStyle w:val="4"/>
        <w:spacing w:after="0" w:line="600" w:lineRule="exact"/>
        <w:ind w:firstLine="650"/>
        <w:rPr>
          <w:rFonts w:hint="default" w:ascii="Times New Roman" w:hAnsi="Times New Roman" w:cs="Times New Roman"/>
          <w:spacing w:val="5"/>
          <w:sz w:val="32"/>
          <w:szCs w:val="21"/>
          <w:lang w:val="zh-CN"/>
        </w:rPr>
      </w:pPr>
      <w:r>
        <w:rPr>
          <w:rFonts w:hint="default" w:ascii="Times New Roman" w:hAnsi="Times New Roman" w:eastAsia="楷体_GB2312" w:cs="Times New Roman"/>
          <w:spacing w:val="5"/>
          <w:sz w:val="32"/>
          <w:szCs w:val="21"/>
        </w:rPr>
        <w:t>强化保护、修复生态。</w:t>
      </w:r>
      <w:r>
        <w:rPr>
          <w:rFonts w:hint="default" w:ascii="Times New Roman" w:hAnsi="Times New Roman" w:cs="Times New Roman"/>
          <w:spacing w:val="5"/>
          <w:sz w:val="32"/>
          <w:szCs w:val="21"/>
          <w:lang w:val="zh-CN"/>
        </w:rPr>
        <w:t>深入贯彻习近平生态文明思想，践行“绿水青山就是金山银山”理念，正确处理</w:t>
      </w:r>
      <w:r>
        <w:rPr>
          <w:rFonts w:hint="default" w:ascii="Times New Roman" w:hAnsi="Times New Roman" w:cs="Times New Roman"/>
          <w:spacing w:val="5"/>
          <w:sz w:val="32"/>
          <w:szCs w:val="21"/>
        </w:rPr>
        <w:t>生态</w:t>
      </w:r>
      <w:r>
        <w:rPr>
          <w:rFonts w:hint="default" w:ascii="Times New Roman" w:hAnsi="Times New Roman" w:cs="Times New Roman"/>
          <w:spacing w:val="5"/>
          <w:sz w:val="32"/>
          <w:szCs w:val="21"/>
          <w:lang w:val="zh-CN"/>
        </w:rPr>
        <w:t>保护</w:t>
      </w:r>
      <w:r>
        <w:rPr>
          <w:rFonts w:hint="default" w:ascii="Times New Roman" w:hAnsi="Times New Roman" w:cs="Times New Roman"/>
          <w:spacing w:val="5"/>
          <w:sz w:val="32"/>
          <w:szCs w:val="21"/>
        </w:rPr>
        <w:t>与经济社会</w:t>
      </w:r>
      <w:r>
        <w:rPr>
          <w:rFonts w:hint="default" w:ascii="Times New Roman" w:hAnsi="Times New Roman" w:cs="Times New Roman"/>
          <w:spacing w:val="5"/>
          <w:sz w:val="32"/>
          <w:szCs w:val="21"/>
          <w:lang w:val="zh-CN"/>
        </w:rPr>
        <w:t>发展的关系，严守生态保护红线，保障</w:t>
      </w:r>
      <w:r>
        <w:rPr>
          <w:rFonts w:hint="default" w:ascii="Times New Roman" w:hAnsi="Times New Roman" w:cs="Times New Roman"/>
          <w:spacing w:val="5"/>
          <w:sz w:val="32"/>
          <w:szCs w:val="21"/>
        </w:rPr>
        <w:t>河湖</w:t>
      </w:r>
      <w:r>
        <w:rPr>
          <w:rFonts w:hint="default" w:ascii="Times New Roman" w:hAnsi="Times New Roman" w:cs="Times New Roman"/>
          <w:spacing w:val="5"/>
          <w:sz w:val="32"/>
          <w:szCs w:val="21"/>
          <w:lang w:val="zh-CN"/>
        </w:rPr>
        <w:t>生态</w:t>
      </w:r>
      <w:r>
        <w:rPr>
          <w:rFonts w:hint="default" w:ascii="Times New Roman" w:hAnsi="Times New Roman" w:cs="Times New Roman"/>
          <w:spacing w:val="5"/>
          <w:sz w:val="32"/>
          <w:szCs w:val="21"/>
        </w:rPr>
        <w:t>基流</w:t>
      </w:r>
      <w:r>
        <w:rPr>
          <w:rFonts w:hint="default" w:ascii="Times New Roman" w:hAnsi="Times New Roman" w:cs="Times New Roman"/>
          <w:spacing w:val="5"/>
          <w:sz w:val="32"/>
          <w:szCs w:val="21"/>
          <w:lang w:val="zh-CN"/>
        </w:rPr>
        <w:t>，强化水质安全</w:t>
      </w:r>
      <w:r>
        <w:rPr>
          <w:rFonts w:hint="default" w:ascii="Times New Roman" w:hAnsi="Times New Roman" w:cs="Times New Roman"/>
          <w:spacing w:val="5"/>
          <w:sz w:val="32"/>
          <w:szCs w:val="21"/>
        </w:rPr>
        <w:t>过程管控</w:t>
      </w:r>
      <w:r>
        <w:rPr>
          <w:rFonts w:hint="default" w:ascii="Times New Roman" w:hAnsi="Times New Roman" w:cs="Times New Roman"/>
          <w:spacing w:val="5"/>
          <w:sz w:val="32"/>
          <w:szCs w:val="21"/>
          <w:lang w:val="zh-CN"/>
        </w:rPr>
        <w:t>，加强流域水污染</w:t>
      </w:r>
      <w:r>
        <w:rPr>
          <w:rFonts w:hint="default" w:ascii="Times New Roman" w:hAnsi="Times New Roman" w:cs="Times New Roman"/>
          <w:spacing w:val="5"/>
          <w:sz w:val="32"/>
          <w:szCs w:val="21"/>
        </w:rPr>
        <w:t>治理</w:t>
      </w:r>
      <w:r>
        <w:rPr>
          <w:rFonts w:hint="default" w:ascii="Times New Roman" w:hAnsi="Times New Roman" w:cs="Times New Roman"/>
          <w:spacing w:val="5"/>
          <w:sz w:val="32"/>
          <w:szCs w:val="21"/>
          <w:lang w:val="zh-CN"/>
        </w:rPr>
        <w:t>、水土流失</w:t>
      </w:r>
      <w:r>
        <w:rPr>
          <w:rFonts w:hint="default" w:ascii="Times New Roman" w:hAnsi="Times New Roman" w:cs="Times New Roman"/>
          <w:spacing w:val="5"/>
          <w:sz w:val="32"/>
          <w:szCs w:val="21"/>
        </w:rPr>
        <w:t>防治和</w:t>
      </w:r>
      <w:r>
        <w:rPr>
          <w:rFonts w:hint="default" w:ascii="Times New Roman" w:hAnsi="Times New Roman" w:cs="Times New Roman"/>
          <w:spacing w:val="5"/>
          <w:sz w:val="32"/>
          <w:szCs w:val="21"/>
          <w:lang w:val="zh-CN"/>
        </w:rPr>
        <w:t>水生态修复，</w:t>
      </w:r>
      <w:r>
        <w:rPr>
          <w:rFonts w:hint="default" w:ascii="Times New Roman" w:hAnsi="Times New Roman" w:cs="Times New Roman"/>
          <w:spacing w:val="5"/>
          <w:sz w:val="32"/>
          <w:szCs w:val="21"/>
        </w:rPr>
        <w:t>系统</w:t>
      </w:r>
      <w:r>
        <w:rPr>
          <w:rFonts w:hint="default" w:ascii="Times New Roman" w:hAnsi="Times New Roman" w:cs="Times New Roman"/>
          <w:spacing w:val="5"/>
          <w:sz w:val="32"/>
          <w:szCs w:val="21"/>
          <w:lang w:val="zh-CN"/>
        </w:rPr>
        <w:t>维护河湖健康生命，构建人水和谐共生</w:t>
      </w:r>
      <w:r>
        <w:rPr>
          <w:rFonts w:hint="default" w:ascii="Times New Roman" w:hAnsi="Times New Roman" w:cs="Times New Roman"/>
          <w:spacing w:val="5"/>
          <w:sz w:val="32"/>
          <w:szCs w:val="21"/>
        </w:rPr>
        <w:t>的良性发展</w:t>
      </w:r>
      <w:r>
        <w:rPr>
          <w:rFonts w:hint="default" w:ascii="Times New Roman" w:hAnsi="Times New Roman" w:cs="Times New Roman"/>
          <w:spacing w:val="5"/>
          <w:sz w:val="32"/>
          <w:szCs w:val="21"/>
          <w:lang w:val="zh-CN"/>
        </w:rPr>
        <w:t>格局。</w:t>
      </w:r>
    </w:p>
    <w:p w14:paraId="434B5AF7">
      <w:pPr>
        <w:pStyle w:val="4"/>
        <w:spacing w:after="0" w:line="600" w:lineRule="exact"/>
        <w:ind w:firstLine="640"/>
        <w:rPr>
          <w:rFonts w:hint="default" w:ascii="Times New Roman" w:hAnsi="Times New Roman" w:cs="Times New Roman"/>
          <w:sz w:val="32"/>
          <w:szCs w:val="21"/>
          <w:lang w:val="zh-CN"/>
        </w:rPr>
      </w:pPr>
      <w:r>
        <w:rPr>
          <w:rFonts w:hint="default" w:ascii="Times New Roman" w:hAnsi="Times New Roman" w:eastAsia="楷体_GB2312" w:cs="Times New Roman"/>
          <w:sz w:val="32"/>
          <w:szCs w:val="21"/>
        </w:rPr>
        <w:t>统筹兼顾、系统治理。</w:t>
      </w:r>
      <w:r>
        <w:rPr>
          <w:rFonts w:hint="default" w:ascii="Times New Roman" w:hAnsi="Times New Roman" w:cs="Times New Roman"/>
          <w:sz w:val="32"/>
          <w:szCs w:val="21"/>
          <w:lang w:val="zh-CN"/>
        </w:rPr>
        <w:t>坚持系统治理与统筹保护观念，树立山水林田湖草沙生命共同体理念，统筹流域内外、上下游、左右岸、干支流</w:t>
      </w:r>
      <w:r>
        <w:rPr>
          <w:rFonts w:hint="default" w:ascii="Times New Roman" w:hAnsi="Times New Roman" w:cs="Times New Roman"/>
          <w:sz w:val="32"/>
          <w:szCs w:val="21"/>
        </w:rPr>
        <w:t>用水需求</w:t>
      </w:r>
      <w:r>
        <w:rPr>
          <w:rFonts w:hint="default" w:ascii="Times New Roman" w:hAnsi="Times New Roman" w:cs="Times New Roman"/>
          <w:sz w:val="32"/>
          <w:szCs w:val="21"/>
          <w:lang w:val="zh-CN"/>
        </w:rPr>
        <w:t>，</w:t>
      </w:r>
      <w:r>
        <w:rPr>
          <w:rFonts w:hint="default" w:ascii="Times New Roman" w:hAnsi="Times New Roman" w:cs="Times New Roman"/>
          <w:sz w:val="32"/>
          <w:szCs w:val="21"/>
        </w:rPr>
        <w:t>坚持</w:t>
      </w:r>
      <w:r>
        <w:rPr>
          <w:rFonts w:hint="default" w:ascii="Times New Roman" w:hAnsi="Times New Roman" w:cs="Times New Roman"/>
          <w:sz w:val="32"/>
          <w:szCs w:val="21"/>
          <w:lang w:val="zh-CN"/>
        </w:rPr>
        <w:t>开源</w:t>
      </w:r>
      <w:r>
        <w:rPr>
          <w:rFonts w:hint="default" w:ascii="Times New Roman" w:hAnsi="Times New Roman" w:cs="Times New Roman"/>
          <w:sz w:val="32"/>
          <w:szCs w:val="21"/>
        </w:rPr>
        <w:t>与</w:t>
      </w:r>
      <w:r>
        <w:rPr>
          <w:rFonts w:hint="default" w:ascii="Times New Roman" w:hAnsi="Times New Roman" w:cs="Times New Roman"/>
          <w:sz w:val="32"/>
          <w:szCs w:val="21"/>
          <w:lang w:val="zh-CN"/>
        </w:rPr>
        <w:t>节流并重，注重标本兼治、</w:t>
      </w:r>
      <w:r>
        <w:rPr>
          <w:rFonts w:hint="default" w:ascii="Times New Roman" w:hAnsi="Times New Roman" w:cs="Times New Roman"/>
          <w:sz w:val="32"/>
          <w:szCs w:val="21"/>
        </w:rPr>
        <w:t>系统施策</w:t>
      </w:r>
      <w:r>
        <w:rPr>
          <w:rFonts w:hint="default" w:ascii="Times New Roman" w:hAnsi="Times New Roman" w:cs="Times New Roman"/>
          <w:sz w:val="32"/>
          <w:szCs w:val="21"/>
          <w:lang w:val="zh-CN"/>
        </w:rPr>
        <w:t>，</w:t>
      </w:r>
      <w:r>
        <w:rPr>
          <w:rFonts w:hint="default" w:ascii="Times New Roman" w:hAnsi="Times New Roman" w:cs="Times New Roman"/>
          <w:sz w:val="32"/>
          <w:szCs w:val="21"/>
        </w:rPr>
        <w:t>统筹</w:t>
      </w:r>
      <w:r>
        <w:rPr>
          <w:rFonts w:hint="default" w:ascii="Times New Roman" w:hAnsi="Times New Roman" w:cs="Times New Roman"/>
          <w:sz w:val="32"/>
          <w:szCs w:val="21"/>
          <w:lang w:val="zh-CN"/>
        </w:rPr>
        <w:t>解决水旱灾害、水资源、水生态、水环境</w:t>
      </w:r>
      <w:r>
        <w:rPr>
          <w:rFonts w:hint="default" w:ascii="Times New Roman" w:hAnsi="Times New Roman" w:cs="Times New Roman"/>
          <w:sz w:val="32"/>
          <w:szCs w:val="21"/>
        </w:rPr>
        <w:t>协同治理</w:t>
      </w:r>
      <w:r>
        <w:rPr>
          <w:rFonts w:hint="default" w:ascii="Times New Roman" w:hAnsi="Times New Roman" w:cs="Times New Roman"/>
          <w:sz w:val="32"/>
          <w:szCs w:val="21"/>
          <w:lang w:val="zh-CN"/>
        </w:rPr>
        <w:t>问题。</w:t>
      </w:r>
    </w:p>
    <w:p w14:paraId="05C9D1A5">
      <w:pPr>
        <w:pStyle w:val="4"/>
        <w:spacing w:after="0" w:line="600" w:lineRule="exact"/>
        <w:ind w:firstLine="640"/>
        <w:rPr>
          <w:rFonts w:hint="default" w:ascii="Times New Roman" w:hAnsi="Times New Roman" w:cs="Times New Roman"/>
          <w:sz w:val="32"/>
          <w:szCs w:val="21"/>
          <w:lang w:val="zh-CN"/>
        </w:rPr>
      </w:pPr>
      <w:r>
        <w:rPr>
          <w:rFonts w:hint="default" w:ascii="Times New Roman" w:hAnsi="Times New Roman" w:eastAsia="楷体_GB2312" w:cs="Times New Roman"/>
          <w:sz w:val="32"/>
          <w:szCs w:val="21"/>
        </w:rPr>
        <w:t>改革创新，两手发力。</w:t>
      </w:r>
      <w:r>
        <w:rPr>
          <w:rFonts w:hint="default" w:ascii="Times New Roman" w:hAnsi="Times New Roman" w:cs="Times New Roman"/>
          <w:sz w:val="32"/>
          <w:szCs w:val="21"/>
        </w:rPr>
        <w:t>深化</w:t>
      </w:r>
      <w:r>
        <w:rPr>
          <w:rFonts w:hint="default" w:ascii="Times New Roman" w:hAnsi="Times New Roman" w:cs="Times New Roman"/>
          <w:sz w:val="32"/>
          <w:szCs w:val="21"/>
          <w:lang w:val="zh-CN"/>
        </w:rPr>
        <w:t>体制机制创新，健全重大水利工程建设、运行、管理机制，</w:t>
      </w:r>
      <w:r>
        <w:rPr>
          <w:rFonts w:hint="default" w:ascii="Times New Roman" w:hAnsi="Times New Roman" w:cs="Times New Roman"/>
          <w:sz w:val="32"/>
          <w:szCs w:val="21"/>
        </w:rPr>
        <w:t>推进</w:t>
      </w:r>
      <w:r>
        <w:rPr>
          <w:rFonts w:hint="default" w:ascii="Times New Roman" w:hAnsi="Times New Roman" w:cs="Times New Roman"/>
          <w:sz w:val="32"/>
          <w:szCs w:val="21"/>
          <w:lang w:val="zh-CN"/>
        </w:rPr>
        <w:t>水利投融资改革，</w:t>
      </w:r>
      <w:r>
        <w:rPr>
          <w:rFonts w:hint="default" w:ascii="Times New Roman" w:hAnsi="Times New Roman" w:cs="Times New Roman"/>
          <w:sz w:val="32"/>
          <w:szCs w:val="21"/>
        </w:rPr>
        <w:t>培育</w:t>
      </w:r>
      <w:r>
        <w:rPr>
          <w:rFonts w:hint="default" w:ascii="Times New Roman" w:hAnsi="Times New Roman" w:cs="Times New Roman"/>
          <w:sz w:val="32"/>
          <w:szCs w:val="21"/>
          <w:lang w:val="zh-CN"/>
        </w:rPr>
        <w:t>发展水利新质生产力，构建系统完备、集约高效、法治规范的现代水治理体系。加快推进水文现代化</w:t>
      </w:r>
      <w:r>
        <w:rPr>
          <w:rFonts w:hint="default" w:ascii="Times New Roman" w:hAnsi="Times New Roman" w:cs="Times New Roman"/>
          <w:sz w:val="32"/>
          <w:szCs w:val="21"/>
        </w:rPr>
        <w:t>建设</w:t>
      </w:r>
      <w:r>
        <w:rPr>
          <w:rFonts w:hint="default" w:ascii="Times New Roman" w:hAnsi="Times New Roman" w:cs="Times New Roman"/>
          <w:sz w:val="32"/>
          <w:szCs w:val="21"/>
          <w:lang w:val="zh-CN"/>
        </w:rPr>
        <w:t>，</w:t>
      </w:r>
      <w:r>
        <w:rPr>
          <w:rFonts w:hint="default" w:ascii="Times New Roman" w:hAnsi="Times New Roman" w:cs="Times New Roman"/>
          <w:sz w:val="32"/>
          <w:szCs w:val="21"/>
        </w:rPr>
        <w:t>系统推进</w:t>
      </w:r>
      <w:r>
        <w:rPr>
          <w:rFonts w:hint="default" w:ascii="Times New Roman" w:hAnsi="Times New Roman" w:cs="Times New Roman"/>
          <w:sz w:val="32"/>
          <w:szCs w:val="21"/>
          <w:lang w:val="zh-CN"/>
        </w:rPr>
        <w:t>数字孪生水利建设，深化新技术新设备融合应用，</w:t>
      </w:r>
      <w:r>
        <w:rPr>
          <w:rFonts w:hint="default" w:ascii="Times New Roman" w:hAnsi="Times New Roman" w:cs="Times New Roman"/>
          <w:sz w:val="32"/>
          <w:szCs w:val="21"/>
        </w:rPr>
        <w:t>全面</w:t>
      </w:r>
      <w:r>
        <w:rPr>
          <w:rFonts w:hint="default" w:ascii="Times New Roman" w:hAnsi="Times New Roman" w:cs="Times New Roman"/>
          <w:sz w:val="32"/>
          <w:szCs w:val="21"/>
          <w:lang w:val="zh-CN"/>
        </w:rPr>
        <w:t>提升水利信息化水平和科技创新</w:t>
      </w:r>
      <w:r>
        <w:rPr>
          <w:rFonts w:hint="default" w:ascii="Times New Roman" w:hAnsi="Times New Roman" w:cs="Times New Roman"/>
          <w:sz w:val="32"/>
          <w:szCs w:val="21"/>
        </w:rPr>
        <w:t>支撑</w:t>
      </w:r>
      <w:r>
        <w:rPr>
          <w:rFonts w:hint="default" w:ascii="Times New Roman" w:hAnsi="Times New Roman" w:cs="Times New Roman"/>
          <w:sz w:val="32"/>
          <w:szCs w:val="21"/>
          <w:lang w:val="zh-CN"/>
        </w:rPr>
        <w:t>能力，</w:t>
      </w:r>
      <w:r>
        <w:rPr>
          <w:rFonts w:hint="default" w:ascii="Times New Roman" w:hAnsi="Times New Roman" w:cs="Times New Roman"/>
          <w:sz w:val="32"/>
          <w:szCs w:val="21"/>
        </w:rPr>
        <w:t>赋能</w:t>
      </w:r>
      <w:r>
        <w:rPr>
          <w:rFonts w:hint="default" w:ascii="Times New Roman" w:hAnsi="Times New Roman" w:cs="Times New Roman"/>
          <w:sz w:val="32"/>
          <w:szCs w:val="21"/>
          <w:lang w:val="zh-CN"/>
        </w:rPr>
        <w:t>水利高质量发展。</w:t>
      </w:r>
    </w:p>
    <w:p w14:paraId="40FA7305">
      <w:pPr>
        <w:pStyle w:val="3"/>
        <w:spacing w:line="600" w:lineRule="exact"/>
        <w:rPr>
          <w:rFonts w:hint="default" w:ascii="Times New Roman" w:hAnsi="Times New Roman" w:cs="Times New Roman"/>
          <w:sz w:val="32"/>
          <w:szCs w:val="32"/>
        </w:rPr>
      </w:pPr>
      <w:bookmarkStart w:id="186" w:name="_Toc14296"/>
      <w:bookmarkStart w:id="187" w:name="_Toc30003"/>
      <w:bookmarkStart w:id="188" w:name="_Toc2790"/>
      <w:bookmarkStart w:id="189" w:name="_Toc3428"/>
      <w:bookmarkStart w:id="190" w:name="_Toc20853"/>
      <w:bookmarkStart w:id="191" w:name="_Toc26821"/>
      <w:bookmarkStart w:id="192" w:name="_Toc7770"/>
      <w:bookmarkStart w:id="193" w:name="_Toc215129874"/>
      <w:bookmarkStart w:id="194" w:name="_Toc10264"/>
      <w:bookmarkStart w:id="195" w:name="_Toc11314"/>
      <w:bookmarkStart w:id="196" w:name="_Toc10825"/>
      <w:bookmarkStart w:id="197" w:name="_Toc30610"/>
      <w:r>
        <w:rPr>
          <w:rFonts w:hint="default" w:ascii="Times New Roman" w:hAnsi="Times New Roman" w:cs="Times New Roman"/>
          <w:sz w:val="32"/>
          <w:szCs w:val="32"/>
          <w:lang w:val="en-US"/>
        </w:rPr>
        <w:t>规划</w:t>
      </w:r>
      <w:r>
        <w:rPr>
          <w:rFonts w:hint="default" w:ascii="Times New Roman" w:hAnsi="Times New Roman" w:cs="Times New Roman"/>
          <w:sz w:val="32"/>
          <w:szCs w:val="32"/>
        </w:rPr>
        <w:t>目标</w:t>
      </w:r>
      <w:bookmarkEnd w:id="186"/>
      <w:bookmarkEnd w:id="187"/>
      <w:bookmarkEnd w:id="188"/>
      <w:bookmarkEnd w:id="189"/>
      <w:bookmarkEnd w:id="190"/>
      <w:bookmarkEnd w:id="191"/>
      <w:bookmarkEnd w:id="192"/>
      <w:bookmarkEnd w:id="193"/>
      <w:bookmarkEnd w:id="194"/>
      <w:bookmarkEnd w:id="195"/>
      <w:bookmarkEnd w:id="196"/>
      <w:bookmarkEnd w:id="197"/>
    </w:p>
    <w:p w14:paraId="4D3E34DC">
      <w:pPr>
        <w:pStyle w:val="4"/>
        <w:spacing w:after="0" w:line="600" w:lineRule="exact"/>
        <w:ind w:firstLine="640"/>
        <w:rPr>
          <w:rFonts w:hint="default" w:ascii="Times New Roman" w:hAnsi="Times New Roman" w:cs="Times New Roman"/>
          <w:sz w:val="32"/>
          <w:szCs w:val="21"/>
          <w:lang w:val="zh-CN"/>
        </w:rPr>
      </w:pPr>
      <w:r>
        <w:rPr>
          <w:rFonts w:hint="default" w:ascii="Times New Roman" w:hAnsi="Times New Roman" w:cs="Times New Roman"/>
          <w:sz w:val="32"/>
          <w:szCs w:val="21"/>
          <w:lang w:val="zh-CN"/>
        </w:rPr>
        <w:t>到2030年，</w:t>
      </w:r>
      <w:r>
        <w:rPr>
          <w:rFonts w:hint="eastAsia" w:ascii="Times New Roman" w:cs="Times New Roman"/>
          <w:sz w:val="32"/>
          <w:szCs w:val="21"/>
          <w:lang w:val="en-US" w:eastAsia="zh-CN"/>
        </w:rPr>
        <w:t>沙湾区</w:t>
      </w:r>
      <w:r>
        <w:rPr>
          <w:rFonts w:hint="default" w:ascii="Times New Roman" w:hAnsi="Times New Roman" w:cs="Times New Roman"/>
          <w:sz w:val="32"/>
          <w:szCs w:val="21"/>
          <w:lang w:val="zh-CN"/>
        </w:rPr>
        <w:t>水安全保障能力实现</w:t>
      </w:r>
      <w:r>
        <w:rPr>
          <w:rFonts w:hint="default" w:ascii="Times New Roman" w:hAnsi="Times New Roman" w:cs="Times New Roman"/>
          <w:sz w:val="32"/>
          <w:szCs w:val="21"/>
        </w:rPr>
        <w:t>突破性提升</w:t>
      </w:r>
      <w:r>
        <w:rPr>
          <w:rFonts w:hint="default" w:ascii="Times New Roman" w:hAnsi="Times New Roman" w:cs="Times New Roman"/>
          <w:sz w:val="32"/>
          <w:szCs w:val="21"/>
          <w:lang w:val="zh-CN"/>
        </w:rPr>
        <w:t>，</w:t>
      </w:r>
      <w:r>
        <w:rPr>
          <w:rFonts w:hint="default" w:ascii="Times New Roman" w:hAnsi="Times New Roman" w:cs="Times New Roman"/>
          <w:sz w:val="32"/>
          <w:szCs w:val="21"/>
        </w:rPr>
        <w:t>全面支撑</w:t>
      </w:r>
      <w:r>
        <w:rPr>
          <w:rFonts w:hint="default" w:ascii="Times New Roman" w:hAnsi="Times New Roman" w:cs="Times New Roman"/>
          <w:sz w:val="32"/>
          <w:szCs w:val="21"/>
          <w:lang w:val="zh-CN"/>
        </w:rPr>
        <w:t>经济社会</w:t>
      </w:r>
      <w:r>
        <w:rPr>
          <w:rFonts w:hint="default" w:ascii="Times New Roman" w:hAnsi="Times New Roman" w:cs="Times New Roman"/>
          <w:sz w:val="32"/>
          <w:szCs w:val="21"/>
        </w:rPr>
        <w:t>高质量</w:t>
      </w:r>
      <w:r>
        <w:rPr>
          <w:rFonts w:hint="default" w:ascii="Times New Roman" w:hAnsi="Times New Roman" w:cs="Times New Roman"/>
          <w:sz w:val="32"/>
          <w:szCs w:val="21"/>
          <w:lang w:val="zh-CN"/>
        </w:rPr>
        <w:t>发展，建成适配沙湾产业、城市、农业发展的现代化水安全保障体系，为</w:t>
      </w:r>
      <w:r>
        <w:rPr>
          <w:rFonts w:hint="eastAsia" w:ascii="Times New Roman" w:cs="Times New Roman"/>
          <w:sz w:val="32"/>
          <w:szCs w:val="21"/>
          <w:lang w:val="en-US" w:eastAsia="zh-CN"/>
        </w:rPr>
        <w:t>沙湾区</w:t>
      </w:r>
      <w:r>
        <w:rPr>
          <w:rFonts w:hint="default" w:ascii="Times New Roman" w:hAnsi="Times New Roman" w:cs="Times New Roman"/>
          <w:sz w:val="32"/>
          <w:szCs w:val="21"/>
          <w:lang w:val="zh-CN"/>
        </w:rPr>
        <w:t>现代水网建设和区域发展提供坚实水利支撑。</w:t>
      </w:r>
    </w:p>
    <w:p w14:paraId="4C526386">
      <w:pPr>
        <w:pStyle w:val="4"/>
        <w:spacing w:after="0" w:line="600" w:lineRule="exact"/>
        <w:ind w:firstLine="643"/>
        <w:rPr>
          <w:rFonts w:hint="default" w:ascii="Times New Roman" w:hAnsi="Times New Roman" w:cs="Times New Roman"/>
          <w:sz w:val="32"/>
          <w:szCs w:val="21"/>
          <w:lang w:val="zh-CN"/>
        </w:rPr>
      </w:pPr>
      <w:r>
        <w:rPr>
          <w:rFonts w:hint="default" w:ascii="Times New Roman" w:hAnsi="Times New Roman" w:eastAsia="楷体_GB2312" w:cs="Times New Roman"/>
          <w:b/>
          <w:bCs/>
          <w:sz w:val="32"/>
          <w:szCs w:val="21"/>
          <w:lang w:val="zh-CN"/>
        </w:rPr>
        <w:t>——</w:t>
      </w:r>
      <w:r>
        <w:rPr>
          <w:rFonts w:hint="default" w:ascii="Times New Roman" w:hAnsi="Times New Roman" w:eastAsia="楷体_GB2312" w:cs="Times New Roman"/>
          <w:b/>
          <w:bCs/>
          <w:sz w:val="32"/>
          <w:szCs w:val="21"/>
        </w:rPr>
        <w:t>防洪减灾</w:t>
      </w:r>
      <w:r>
        <w:rPr>
          <w:rFonts w:hint="default" w:ascii="Times New Roman" w:hAnsi="Times New Roman" w:eastAsia="楷体_GB2312" w:cs="Times New Roman"/>
          <w:b/>
          <w:bCs/>
          <w:sz w:val="32"/>
          <w:szCs w:val="21"/>
          <w:lang w:val="zh-CN"/>
        </w:rPr>
        <w:t>能力显著</w:t>
      </w:r>
      <w:r>
        <w:rPr>
          <w:rFonts w:hint="default" w:ascii="Times New Roman" w:hAnsi="Times New Roman" w:eastAsia="楷体_GB2312" w:cs="Times New Roman"/>
          <w:b/>
          <w:bCs/>
          <w:sz w:val="32"/>
          <w:szCs w:val="21"/>
        </w:rPr>
        <w:t>提升</w:t>
      </w:r>
      <w:r>
        <w:rPr>
          <w:rFonts w:hint="default" w:ascii="Times New Roman" w:hAnsi="Times New Roman" w:eastAsia="楷体_GB2312" w:cs="Times New Roman"/>
          <w:b/>
          <w:bCs/>
          <w:sz w:val="32"/>
          <w:szCs w:val="21"/>
          <w:lang w:val="zh-CN"/>
        </w:rPr>
        <w:t>。</w:t>
      </w:r>
      <w:r>
        <w:rPr>
          <w:rFonts w:hint="default" w:ascii="Times New Roman" w:hAnsi="Times New Roman" w:cs="Times New Roman"/>
          <w:sz w:val="32"/>
          <w:szCs w:val="21"/>
          <w:lang w:val="zh-CN"/>
        </w:rPr>
        <w:t>大渡河及主要支流防洪体系完善，城区、工业园区、重点场镇堤防全面达标，病险水库动态清零</w:t>
      </w:r>
      <w:r>
        <w:rPr>
          <w:rFonts w:hint="default" w:ascii="Times New Roman" w:hAnsi="Times New Roman" w:cs="Times New Roman"/>
          <w:color w:val="auto"/>
          <w:sz w:val="32"/>
          <w:szCs w:val="21"/>
          <w:lang w:val="zh-CN"/>
        </w:rPr>
        <w:t xml:space="preserve">，堤防综合达标率提升至 </w:t>
      </w:r>
      <w:r>
        <w:rPr>
          <w:rFonts w:hint="eastAsia" w:ascii="Times New Roman" w:cs="Times New Roman"/>
          <w:color w:val="auto"/>
          <w:sz w:val="32"/>
          <w:szCs w:val="21"/>
          <w:lang w:val="en-US" w:eastAsia="zh-CN"/>
        </w:rPr>
        <w:t>92</w:t>
      </w:r>
      <w:r>
        <w:rPr>
          <w:rFonts w:hint="default" w:ascii="Times New Roman" w:hAnsi="Times New Roman" w:cs="Times New Roman"/>
          <w:color w:val="auto"/>
          <w:sz w:val="32"/>
          <w:szCs w:val="21"/>
          <w:lang w:val="zh-CN"/>
        </w:rPr>
        <w:t>%，</w:t>
      </w:r>
      <w:r>
        <w:rPr>
          <w:rFonts w:hint="eastAsia" w:ascii="Times New Roman"/>
          <w:sz w:val="32"/>
          <w:szCs w:val="21"/>
          <w:lang w:val="zh-CN"/>
        </w:rPr>
        <w:t>非工程措施体系</w:t>
      </w:r>
      <w:r>
        <w:rPr>
          <w:rFonts w:hint="eastAsia" w:ascii="Times New Roman"/>
          <w:sz w:val="32"/>
          <w:szCs w:val="21"/>
        </w:rPr>
        <w:t>持续</w:t>
      </w:r>
      <w:r>
        <w:rPr>
          <w:rFonts w:hint="eastAsia" w:ascii="Times New Roman"/>
          <w:sz w:val="32"/>
          <w:szCs w:val="21"/>
          <w:lang w:val="zh-CN"/>
        </w:rPr>
        <w:t>优化，</w:t>
      </w:r>
      <w:r>
        <w:rPr>
          <w:rFonts w:hint="eastAsia" w:ascii="Times New Roman"/>
          <w:sz w:val="32"/>
          <w:szCs w:val="21"/>
        </w:rPr>
        <w:t>持续巩固防汛“</w:t>
      </w:r>
      <w:r>
        <w:rPr>
          <w:rFonts w:hint="eastAsia" w:ascii="Times New Roman"/>
          <w:sz w:val="32"/>
          <w:szCs w:val="21"/>
          <w:lang w:val="zh-CN"/>
        </w:rPr>
        <w:t>零死亡、零失踪、零重伤</w:t>
      </w:r>
      <w:r>
        <w:rPr>
          <w:rFonts w:hint="eastAsia" w:ascii="Times New Roman"/>
          <w:sz w:val="32"/>
          <w:szCs w:val="21"/>
        </w:rPr>
        <w:t>”目标</w:t>
      </w:r>
      <w:r>
        <w:rPr>
          <w:rFonts w:hint="default" w:ascii="Times New Roman" w:hAnsi="Times New Roman" w:cs="Times New Roman"/>
          <w:sz w:val="32"/>
          <w:szCs w:val="21"/>
          <w:lang w:val="zh-CN"/>
        </w:rPr>
        <w:t>。</w:t>
      </w:r>
    </w:p>
    <w:p w14:paraId="3684A441">
      <w:pPr>
        <w:pStyle w:val="4"/>
        <w:spacing w:after="0" w:line="600" w:lineRule="exact"/>
        <w:ind w:firstLine="643"/>
        <w:rPr>
          <w:rFonts w:hint="default" w:ascii="Times New Roman" w:hAnsi="Times New Roman" w:cs="Times New Roman"/>
          <w:sz w:val="32"/>
          <w:szCs w:val="21"/>
          <w:lang w:val="zh-CN"/>
        </w:rPr>
      </w:pPr>
      <w:r>
        <w:rPr>
          <w:rFonts w:hint="default" w:ascii="Times New Roman" w:hAnsi="Times New Roman" w:cs="Times New Roman"/>
          <w:b/>
          <w:bCs/>
          <w:sz w:val="32"/>
          <w:szCs w:val="21"/>
          <w:lang w:val="zh-CN"/>
        </w:rPr>
        <w:t>——</w:t>
      </w:r>
      <w:r>
        <w:rPr>
          <w:rFonts w:hint="default" w:ascii="Times New Roman" w:hAnsi="Times New Roman" w:eastAsia="楷体_GB2312" w:cs="Times New Roman"/>
          <w:b/>
          <w:bCs/>
          <w:sz w:val="32"/>
          <w:szCs w:val="21"/>
          <w:lang w:val="zh-CN"/>
        </w:rPr>
        <w:t>城乡供水安全保障水平显著提升。</w:t>
      </w:r>
      <w:r>
        <w:rPr>
          <w:rFonts w:hint="default" w:ascii="Times New Roman" w:hAnsi="Times New Roman" w:cs="Times New Roman"/>
          <w:sz w:val="32"/>
          <w:szCs w:val="21"/>
          <w:lang w:val="zh-CN"/>
        </w:rPr>
        <w:t>水资源刚性约束制度</w:t>
      </w:r>
      <w:r>
        <w:rPr>
          <w:rFonts w:hint="default" w:ascii="Times New Roman" w:hAnsi="Times New Roman" w:cs="Times New Roman"/>
          <w:sz w:val="32"/>
          <w:szCs w:val="21"/>
        </w:rPr>
        <w:t>体系</w:t>
      </w:r>
      <w:r>
        <w:rPr>
          <w:rFonts w:hint="default" w:ascii="Times New Roman" w:hAnsi="Times New Roman" w:cs="Times New Roman"/>
          <w:sz w:val="32"/>
          <w:szCs w:val="21"/>
          <w:lang w:val="zh-CN"/>
        </w:rPr>
        <w:t>更加完善，节水型</w:t>
      </w:r>
      <w:r>
        <w:rPr>
          <w:rFonts w:hint="default" w:ascii="Times New Roman" w:hAnsi="Times New Roman" w:cs="Times New Roman"/>
          <w:sz w:val="32"/>
          <w:szCs w:val="21"/>
        </w:rPr>
        <w:t>社会建设</w:t>
      </w:r>
      <w:r>
        <w:rPr>
          <w:rFonts w:hint="default" w:ascii="Times New Roman" w:hAnsi="Times New Roman" w:cs="Times New Roman"/>
          <w:sz w:val="32"/>
          <w:szCs w:val="21"/>
          <w:lang w:val="zh-CN"/>
        </w:rPr>
        <w:t>持续深化，节水型生产生活方式全面普</w:t>
      </w:r>
      <w:r>
        <w:rPr>
          <w:rFonts w:hint="default" w:ascii="Times New Roman" w:hAnsi="Times New Roman" w:cs="Times New Roman"/>
          <w:color w:val="auto"/>
          <w:sz w:val="32"/>
          <w:szCs w:val="21"/>
          <w:lang w:val="zh-CN"/>
        </w:rPr>
        <w:t xml:space="preserve">及。全区用水总量控制在 </w:t>
      </w:r>
      <w:r>
        <w:rPr>
          <w:rFonts w:hint="eastAsia" w:ascii="Times New Roman" w:cs="Times New Roman"/>
          <w:color w:val="auto"/>
          <w:sz w:val="32"/>
          <w:szCs w:val="21"/>
          <w:lang w:val="en-US" w:eastAsia="zh-CN"/>
        </w:rPr>
        <w:t>0.85</w:t>
      </w:r>
      <w:r>
        <w:rPr>
          <w:rFonts w:hint="default" w:ascii="Times New Roman" w:hAnsi="Times New Roman" w:cs="Times New Roman"/>
          <w:color w:val="auto"/>
          <w:sz w:val="32"/>
          <w:szCs w:val="21"/>
          <w:lang w:val="zh-CN"/>
        </w:rPr>
        <w:t xml:space="preserve"> 亿 m³ 以内，万元国内生产总值用水量、万元工业增加值用水量较2025年下降幅度</w:t>
      </w:r>
      <w:r>
        <w:rPr>
          <w:rFonts w:hint="default" w:ascii="Times New Roman" w:hAnsi="Times New Roman" w:cs="Times New Roman"/>
          <w:color w:val="auto"/>
          <w:sz w:val="32"/>
          <w:szCs w:val="21"/>
        </w:rPr>
        <w:t>全面</w:t>
      </w:r>
      <w:r>
        <w:rPr>
          <w:rFonts w:hint="default" w:ascii="Times New Roman" w:hAnsi="Times New Roman" w:cs="Times New Roman"/>
          <w:color w:val="auto"/>
          <w:sz w:val="32"/>
          <w:szCs w:val="21"/>
          <w:lang w:val="zh-CN"/>
        </w:rPr>
        <w:t>完成</w:t>
      </w:r>
      <w:r>
        <w:rPr>
          <w:rFonts w:hint="eastAsia" w:ascii="Times New Roman" w:cs="Times New Roman"/>
          <w:color w:val="auto"/>
          <w:sz w:val="32"/>
          <w:szCs w:val="21"/>
          <w:lang w:val="en-US" w:eastAsia="zh-CN"/>
        </w:rPr>
        <w:t>乐山市</w:t>
      </w:r>
      <w:r>
        <w:rPr>
          <w:rFonts w:hint="default" w:ascii="Times New Roman" w:hAnsi="Times New Roman" w:cs="Times New Roman"/>
          <w:color w:val="auto"/>
          <w:sz w:val="32"/>
          <w:szCs w:val="21"/>
          <w:lang w:val="zh-CN"/>
        </w:rPr>
        <w:t>下达目标，灌溉水有效利用系数</w:t>
      </w:r>
      <w:r>
        <w:rPr>
          <w:rFonts w:hint="default" w:ascii="Times New Roman" w:hAnsi="Times New Roman" w:cs="Times New Roman"/>
          <w:color w:val="auto"/>
          <w:sz w:val="32"/>
          <w:szCs w:val="21"/>
        </w:rPr>
        <w:t>提升至</w:t>
      </w:r>
      <w:r>
        <w:rPr>
          <w:rFonts w:hint="default" w:ascii="Times New Roman" w:hAnsi="Times New Roman" w:cs="Times New Roman"/>
          <w:color w:val="auto"/>
          <w:sz w:val="32"/>
          <w:szCs w:val="21"/>
          <w:lang w:val="zh-CN"/>
        </w:rPr>
        <w:t>0.536以上。</w:t>
      </w:r>
      <w:r>
        <w:rPr>
          <w:rFonts w:hint="default" w:ascii="Times New Roman" w:hAnsi="Times New Roman" w:cs="Times New Roman"/>
          <w:sz w:val="32"/>
          <w:szCs w:val="21"/>
          <w:lang w:val="zh-CN"/>
        </w:rPr>
        <w:t>水资源配置格局进一步</w:t>
      </w:r>
      <w:r>
        <w:rPr>
          <w:rFonts w:hint="default" w:ascii="Times New Roman" w:hAnsi="Times New Roman" w:cs="Times New Roman"/>
          <w:sz w:val="32"/>
          <w:szCs w:val="21"/>
        </w:rPr>
        <w:t>完善</w:t>
      </w:r>
      <w:r>
        <w:rPr>
          <w:rFonts w:hint="default" w:ascii="Times New Roman" w:hAnsi="Times New Roman" w:cs="Times New Roman"/>
          <w:sz w:val="32"/>
          <w:szCs w:val="21"/>
          <w:lang w:val="zh-CN"/>
        </w:rPr>
        <w:t>，城乡供水保障能力</w:t>
      </w:r>
      <w:r>
        <w:rPr>
          <w:rFonts w:hint="default" w:ascii="Times New Roman" w:hAnsi="Times New Roman" w:cs="Times New Roman"/>
          <w:sz w:val="32"/>
          <w:szCs w:val="21"/>
        </w:rPr>
        <w:t>持续</w:t>
      </w:r>
      <w:r>
        <w:rPr>
          <w:rFonts w:hint="default" w:ascii="Times New Roman" w:hAnsi="Times New Roman" w:cs="Times New Roman"/>
          <w:sz w:val="32"/>
          <w:szCs w:val="21"/>
          <w:lang w:val="zh-CN"/>
        </w:rPr>
        <w:t>增强，农村自来水普及率</w:t>
      </w:r>
      <w:r>
        <w:rPr>
          <w:rFonts w:hint="default" w:ascii="Times New Roman" w:hAnsi="Times New Roman" w:cs="Times New Roman"/>
          <w:sz w:val="32"/>
          <w:szCs w:val="21"/>
        </w:rPr>
        <w:t>提升至96%以上</w:t>
      </w:r>
      <w:r>
        <w:rPr>
          <w:rFonts w:hint="default" w:ascii="Times New Roman" w:hAnsi="Times New Roman" w:cs="Times New Roman"/>
          <w:sz w:val="32"/>
          <w:szCs w:val="21"/>
          <w:lang w:val="zh-CN"/>
        </w:rPr>
        <w:t>，规模化供水率</w:t>
      </w:r>
      <w:r>
        <w:rPr>
          <w:rFonts w:hint="default" w:ascii="Times New Roman" w:hAnsi="Times New Roman" w:cs="Times New Roman"/>
          <w:sz w:val="32"/>
          <w:szCs w:val="21"/>
        </w:rPr>
        <w:t>达到</w:t>
      </w:r>
      <w:r>
        <w:rPr>
          <w:rFonts w:hint="default" w:ascii="Times New Roman" w:hAnsi="Times New Roman" w:cs="Times New Roman"/>
          <w:sz w:val="32"/>
          <w:szCs w:val="21"/>
          <w:lang w:val="zh-CN"/>
        </w:rPr>
        <w:t xml:space="preserve"> 70%以上，县级及以上城市、重点工业集中区再生水利用率</w:t>
      </w:r>
      <w:r>
        <w:rPr>
          <w:rFonts w:hint="default" w:ascii="Times New Roman" w:hAnsi="Times New Roman" w:cs="Times New Roman"/>
          <w:sz w:val="32"/>
          <w:szCs w:val="21"/>
        </w:rPr>
        <w:t>不低于20</w:t>
      </w:r>
      <w:r>
        <w:rPr>
          <w:rFonts w:hint="default" w:ascii="Times New Roman" w:hAnsi="Times New Roman" w:cs="Times New Roman"/>
          <w:sz w:val="32"/>
          <w:szCs w:val="21"/>
          <w:lang w:val="zh-CN"/>
        </w:rPr>
        <w:t>%。</w:t>
      </w:r>
    </w:p>
    <w:p w14:paraId="2455E485">
      <w:pPr>
        <w:pStyle w:val="4"/>
        <w:spacing w:after="0" w:line="600" w:lineRule="exact"/>
        <w:ind w:firstLine="643"/>
        <w:rPr>
          <w:rFonts w:hint="default" w:ascii="Times New Roman" w:hAnsi="Times New Roman" w:cs="Times New Roman"/>
          <w:sz w:val="32"/>
          <w:szCs w:val="21"/>
        </w:rPr>
      </w:pPr>
      <w:r>
        <w:rPr>
          <w:rFonts w:hint="default" w:ascii="Times New Roman" w:hAnsi="Times New Roman" w:eastAsia="楷体_GB2312" w:cs="Times New Roman"/>
          <w:b/>
          <w:bCs/>
          <w:sz w:val="32"/>
          <w:szCs w:val="21"/>
          <w:lang w:val="zh-CN"/>
        </w:rPr>
        <w:t>——江河生态环境质量全面改善。</w:t>
      </w:r>
      <w:r>
        <w:rPr>
          <w:rFonts w:hint="default" w:ascii="Times New Roman" w:hAnsi="Times New Roman" w:cs="Times New Roman"/>
          <w:sz w:val="32"/>
          <w:szCs w:val="21"/>
        </w:rPr>
        <w:t>重点河湖生态流量达标率达到93%</w:t>
      </w:r>
      <w:r>
        <w:rPr>
          <w:rFonts w:hint="eastAsia" w:ascii="Times New Roman" w:cs="Times New Roman"/>
          <w:sz w:val="32"/>
          <w:szCs w:val="21"/>
          <w:lang w:val="en-US" w:eastAsia="zh-CN"/>
        </w:rPr>
        <w:t>以上</w:t>
      </w:r>
      <w:r>
        <w:rPr>
          <w:rFonts w:hint="default" w:ascii="Times New Roman" w:hAnsi="Times New Roman" w:cs="Times New Roman"/>
          <w:sz w:val="32"/>
          <w:szCs w:val="21"/>
        </w:rPr>
        <w:t>，水生态系统健康稳定。人为水土流失得到基本控制，新增水土流失治理面积</w:t>
      </w:r>
      <w:r>
        <w:rPr>
          <w:rFonts w:hint="eastAsia" w:ascii="Times New Roman" w:hAnsi="Times New Roman" w:cs="Times New Roman"/>
          <w:sz w:val="32"/>
          <w:szCs w:val="21"/>
          <w:lang w:val="en-US" w:eastAsia="zh-CN"/>
        </w:rPr>
        <w:t>60</w:t>
      </w:r>
      <w:r>
        <w:rPr>
          <w:rFonts w:hint="default" w:ascii="Times New Roman" w:hAnsi="Times New Roman" w:cs="Times New Roman"/>
          <w:sz w:val="32"/>
          <w:szCs w:val="21"/>
        </w:rPr>
        <w:t>km²，全</w:t>
      </w:r>
      <w:r>
        <w:rPr>
          <w:rFonts w:hint="eastAsia" w:ascii="Times New Roman" w:hAnsi="Times New Roman" w:cs="Times New Roman"/>
          <w:sz w:val="32"/>
          <w:szCs w:val="21"/>
          <w:lang w:val="en-US" w:eastAsia="zh-CN"/>
        </w:rPr>
        <w:t>区</w:t>
      </w:r>
      <w:r>
        <w:rPr>
          <w:rFonts w:hint="default" w:ascii="Times New Roman" w:hAnsi="Times New Roman" w:cs="Times New Roman"/>
          <w:sz w:val="32"/>
          <w:szCs w:val="21"/>
        </w:rPr>
        <w:t>水土保持率提升至69.67%。</w:t>
      </w:r>
    </w:p>
    <w:p w14:paraId="51C45D73">
      <w:pPr>
        <w:pStyle w:val="4"/>
        <w:spacing w:after="0" w:line="600" w:lineRule="exact"/>
        <w:ind w:firstLine="643"/>
        <w:rPr>
          <w:rFonts w:hint="default" w:ascii="Times New Roman" w:hAnsi="Times New Roman" w:cs="Times New Roman"/>
          <w:sz w:val="32"/>
          <w:szCs w:val="21"/>
          <w:lang w:val="zh-CN"/>
        </w:rPr>
      </w:pPr>
      <w:r>
        <w:rPr>
          <w:rFonts w:hint="default" w:ascii="Times New Roman" w:hAnsi="Times New Roman" w:eastAsia="楷体_GB2312" w:cs="Times New Roman"/>
          <w:b/>
          <w:bCs/>
          <w:sz w:val="32"/>
          <w:szCs w:val="21"/>
          <w:lang w:val="zh-CN"/>
        </w:rPr>
        <w:t>——数字孪生水利建设提速增效。</w:t>
      </w:r>
      <w:r>
        <w:rPr>
          <w:rFonts w:hint="default" w:ascii="Times New Roman" w:hAnsi="Times New Roman" w:cs="Times New Roman"/>
          <w:sz w:val="32"/>
          <w:szCs w:val="21"/>
        </w:rPr>
        <w:t>全面</w:t>
      </w:r>
      <w:r>
        <w:rPr>
          <w:rFonts w:hint="default" w:ascii="Times New Roman" w:hAnsi="Times New Roman" w:cs="Times New Roman"/>
          <w:sz w:val="32"/>
          <w:szCs w:val="21"/>
          <w:lang w:val="zh-CN"/>
        </w:rPr>
        <w:t>完善“天空地水工”一体化监测感知系统，</w:t>
      </w:r>
      <w:r>
        <w:rPr>
          <w:rFonts w:hint="default" w:ascii="Times New Roman" w:hAnsi="Times New Roman" w:cs="Times New Roman"/>
          <w:sz w:val="32"/>
          <w:szCs w:val="21"/>
        </w:rPr>
        <w:t>加快</w:t>
      </w:r>
      <w:r>
        <w:rPr>
          <w:rFonts w:hint="default" w:ascii="Times New Roman" w:hAnsi="Times New Roman" w:cs="Times New Roman"/>
          <w:sz w:val="32"/>
          <w:szCs w:val="21"/>
          <w:lang w:val="zh-CN"/>
        </w:rPr>
        <w:t>建设稳定高效的算力设施，</w:t>
      </w:r>
      <w:r>
        <w:rPr>
          <w:rFonts w:hint="default" w:ascii="Times New Roman" w:hAnsi="Times New Roman" w:cs="Times New Roman"/>
          <w:sz w:val="32"/>
          <w:szCs w:val="21"/>
        </w:rPr>
        <w:t>不断</w:t>
      </w:r>
      <w:r>
        <w:rPr>
          <w:rFonts w:hint="default" w:ascii="Times New Roman" w:hAnsi="Times New Roman" w:cs="Times New Roman"/>
          <w:sz w:val="32"/>
          <w:szCs w:val="21"/>
          <w:lang w:val="zh-CN"/>
        </w:rPr>
        <w:t>夯实信息化基础设施。</w:t>
      </w:r>
      <w:r>
        <w:rPr>
          <w:rFonts w:hint="default" w:ascii="Times New Roman" w:hAnsi="Times New Roman" w:cs="Times New Roman"/>
          <w:sz w:val="32"/>
          <w:szCs w:val="21"/>
        </w:rPr>
        <w:t>充分依托省级数字孪生平台成果，</w:t>
      </w:r>
      <w:r>
        <w:rPr>
          <w:rFonts w:hint="default" w:ascii="Times New Roman" w:hAnsi="Times New Roman" w:cs="Times New Roman"/>
          <w:sz w:val="32"/>
          <w:szCs w:val="21"/>
          <w:lang w:val="zh-CN"/>
        </w:rPr>
        <w:t>全面推进</w:t>
      </w:r>
      <w:r>
        <w:rPr>
          <w:rFonts w:hint="default" w:ascii="Times New Roman" w:hAnsi="Times New Roman" w:cs="Times New Roman"/>
          <w:sz w:val="32"/>
          <w:szCs w:val="21"/>
        </w:rPr>
        <w:t>市域</w:t>
      </w:r>
      <w:r>
        <w:rPr>
          <w:rFonts w:hint="default" w:ascii="Times New Roman" w:hAnsi="Times New Roman" w:cs="Times New Roman"/>
          <w:sz w:val="32"/>
          <w:szCs w:val="21"/>
          <w:lang w:val="zh-CN"/>
        </w:rPr>
        <w:t>数字孪生</w:t>
      </w:r>
      <w:r>
        <w:rPr>
          <w:rFonts w:hint="default" w:ascii="Times New Roman" w:hAnsi="Times New Roman" w:cs="Times New Roman"/>
          <w:sz w:val="32"/>
          <w:szCs w:val="21"/>
        </w:rPr>
        <w:t>水利</w:t>
      </w:r>
      <w:r>
        <w:rPr>
          <w:rFonts w:hint="default" w:ascii="Times New Roman" w:hAnsi="Times New Roman" w:cs="Times New Roman"/>
          <w:sz w:val="32"/>
          <w:szCs w:val="21"/>
          <w:lang w:val="zh-CN"/>
        </w:rPr>
        <w:t>建设，“2+N”水利业务“四预”能力显著增强，智慧水利支撑作用充分发挥。</w:t>
      </w:r>
    </w:p>
    <w:p w14:paraId="3FD153A2">
      <w:pPr>
        <w:pStyle w:val="4"/>
        <w:spacing w:after="0" w:line="600" w:lineRule="exact"/>
        <w:ind w:firstLine="643"/>
        <w:rPr>
          <w:rFonts w:hint="default" w:ascii="Times New Roman" w:hAnsi="Times New Roman" w:cs="Times New Roman"/>
          <w:sz w:val="32"/>
          <w:szCs w:val="21"/>
          <w:lang w:val="zh-CN"/>
        </w:rPr>
      </w:pPr>
      <w:r>
        <w:rPr>
          <w:rFonts w:hint="default" w:ascii="Times New Roman" w:hAnsi="Times New Roman" w:eastAsia="楷体_GB2312" w:cs="Times New Roman"/>
          <w:b/>
          <w:bCs/>
          <w:sz w:val="32"/>
          <w:szCs w:val="21"/>
          <w:lang w:val="zh-CN"/>
        </w:rPr>
        <w:t>——水利</w:t>
      </w:r>
      <w:r>
        <w:rPr>
          <w:rFonts w:hint="default" w:ascii="Times New Roman" w:hAnsi="Times New Roman" w:eastAsia="楷体_GB2312" w:cs="Times New Roman"/>
          <w:b/>
          <w:bCs/>
          <w:sz w:val="32"/>
          <w:szCs w:val="21"/>
        </w:rPr>
        <w:t>治理</w:t>
      </w:r>
      <w:r>
        <w:rPr>
          <w:rFonts w:hint="default" w:ascii="Times New Roman" w:hAnsi="Times New Roman" w:eastAsia="楷体_GB2312" w:cs="Times New Roman"/>
          <w:b/>
          <w:bCs/>
          <w:sz w:val="32"/>
          <w:szCs w:val="21"/>
          <w:lang w:val="zh-CN"/>
        </w:rPr>
        <w:t>管理水平</w:t>
      </w:r>
      <w:r>
        <w:rPr>
          <w:rFonts w:hint="default" w:ascii="Times New Roman" w:hAnsi="Times New Roman" w:eastAsia="楷体_GB2312" w:cs="Times New Roman"/>
          <w:b/>
          <w:bCs/>
          <w:sz w:val="32"/>
          <w:szCs w:val="21"/>
        </w:rPr>
        <w:t>显著</w:t>
      </w:r>
      <w:r>
        <w:rPr>
          <w:rFonts w:hint="default" w:ascii="Times New Roman" w:hAnsi="Times New Roman" w:eastAsia="楷体_GB2312" w:cs="Times New Roman"/>
          <w:b/>
          <w:bCs/>
          <w:sz w:val="32"/>
          <w:szCs w:val="21"/>
          <w:lang w:val="zh-CN"/>
        </w:rPr>
        <w:t>提升。</w:t>
      </w:r>
      <w:r>
        <w:rPr>
          <w:rFonts w:hint="default" w:ascii="Times New Roman" w:hAnsi="Times New Roman" w:cs="Times New Roman"/>
          <w:sz w:val="32"/>
          <w:szCs w:val="21"/>
          <w:lang w:val="zh-CN"/>
        </w:rPr>
        <w:t>水治理体制机制法治</w:t>
      </w:r>
      <w:r>
        <w:rPr>
          <w:rFonts w:hint="default" w:ascii="Times New Roman" w:hAnsi="Times New Roman" w:cs="Times New Roman"/>
          <w:sz w:val="32"/>
          <w:szCs w:val="21"/>
        </w:rPr>
        <w:t>体系</w:t>
      </w:r>
      <w:r>
        <w:rPr>
          <w:rFonts w:hint="default" w:ascii="Times New Roman" w:hAnsi="Times New Roman" w:cs="Times New Roman"/>
          <w:sz w:val="32"/>
          <w:szCs w:val="21"/>
          <w:lang w:val="zh-CN"/>
        </w:rPr>
        <w:t>不断完善，节水制度政策</w:t>
      </w:r>
      <w:r>
        <w:rPr>
          <w:rFonts w:hint="default" w:ascii="Times New Roman" w:hAnsi="Times New Roman" w:cs="Times New Roman"/>
          <w:sz w:val="32"/>
          <w:szCs w:val="21"/>
        </w:rPr>
        <w:t>全面</w:t>
      </w:r>
      <w:r>
        <w:rPr>
          <w:rFonts w:hint="default" w:ascii="Times New Roman" w:hAnsi="Times New Roman" w:cs="Times New Roman"/>
          <w:sz w:val="32"/>
          <w:szCs w:val="21"/>
          <w:lang w:val="zh-CN"/>
        </w:rPr>
        <w:t>健全，水利建设投融资机制更加多元</w:t>
      </w:r>
      <w:r>
        <w:rPr>
          <w:rFonts w:hint="default" w:ascii="Times New Roman" w:hAnsi="Times New Roman" w:cs="Times New Roman"/>
          <w:sz w:val="32"/>
          <w:szCs w:val="21"/>
        </w:rPr>
        <w:t>高效</w:t>
      </w:r>
      <w:r>
        <w:rPr>
          <w:rFonts w:hint="default" w:ascii="Times New Roman" w:hAnsi="Times New Roman" w:cs="Times New Roman"/>
          <w:sz w:val="32"/>
          <w:szCs w:val="21"/>
          <w:lang w:val="zh-CN"/>
        </w:rPr>
        <w:t>，水利科技创新体系</w:t>
      </w:r>
      <w:r>
        <w:rPr>
          <w:rFonts w:hint="default" w:ascii="Times New Roman" w:hAnsi="Times New Roman" w:cs="Times New Roman"/>
          <w:sz w:val="32"/>
          <w:szCs w:val="21"/>
        </w:rPr>
        <w:t>持续</w:t>
      </w:r>
      <w:r>
        <w:rPr>
          <w:rFonts w:hint="default" w:ascii="Times New Roman" w:hAnsi="Times New Roman" w:cs="Times New Roman"/>
          <w:sz w:val="32"/>
          <w:szCs w:val="21"/>
          <w:lang w:val="zh-CN"/>
        </w:rPr>
        <w:t>完善，风险防控</w:t>
      </w:r>
      <w:r>
        <w:rPr>
          <w:rFonts w:hint="default" w:ascii="Times New Roman" w:hAnsi="Times New Roman" w:cs="Times New Roman"/>
          <w:sz w:val="32"/>
          <w:szCs w:val="21"/>
        </w:rPr>
        <w:t>能力全面提升</w:t>
      </w:r>
      <w:r>
        <w:rPr>
          <w:rFonts w:hint="default" w:ascii="Times New Roman" w:hAnsi="Times New Roman" w:cs="Times New Roman"/>
          <w:sz w:val="32"/>
          <w:szCs w:val="21"/>
          <w:lang w:val="zh-CN"/>
        </w:rPr>
        <w:t>。</w:t>
      </w:r>
    </w:p>
    <w:p w14:paraId="7FBFB160">
      <w:pPr>
        <w:numPr>
          <w:ilvl w:val="0"/>
          <w:numId w:val="0"/>
        </w:numPr>
        <w:spacing w:before="120" w:after="120" w:line="288" w:lineRule="auto"/>
        <w:ind w:firstLine="643" w:firstLineChars="200"/>
        <w:jc w:val="left"/>
        <w:rPr>
          <w:rFonts w:hint="default" w:ascii="Times New Roman" w:hAnsi="Times New Roman" w:eastAsia="仿宋_GB2312" w:cs="Times New Roman"/>
          <w:kern w:val="0"/>
          <w:sz w:val="32"/>
          <w:szCs w:val="21"/>
          <w:lang w:val="zh-CN" w:eastAsia="zh-CN" w:bidi="ar-SA"/>
        </w:rPr>
      </w:pPr>
      <w:r>
        <w:rPr>
          <w:rFonts w:hint="default" w:ascii="Times New Roman" w:hAnsi="Times New Roman" w:eastAsia="楷体_GB2312" w:cs="Times New Roman"/>
          <w:b/>
          <w:bCs/>
          <w:sz w:val="32"/>
          <w:szCs w:val="21"/>
          <w:lang w:val="zh-CN"/>
        </w:rPr>
        <w:t>——水文化影响力显著增强。</w:t>
      </w:r>
      <w:r>
        <w:rPr>
          <w:rFonts w:hint="default" w:ascii="Times New Roman" w:hAnsi="Times New Roman" w:eastAsia="仿宋_GB2312" w:cs="Times New Roman"/>
          <w:kern w:val="0"/>
          <w:sz w:val="32"/>
          <w:szCs w:val="21"/>
          <w:lang w:val="zh-CN" w:eastAsia="zh-CN" w:bidi="ar-SA"/>
        </w:rPr>
        <w:t>水文化</w:t>
      </w:r>
      <w:r>
        <w:rPr>
          <w:rFonts w:hint="default" w:ascii="Times New Roman" w:hAnsi="Times New Roman" w:eastAsia="仿宋_GB2312" w:cs="Times New Roman"/>
          <w:kern w:val="0"/>
          <w:sz w:val="32"/>
          <w:szCs w:val="21"/>
          <w:lang w:val="en-US" w:eastAsia="zh-CN" w:bidi="ar-SA"/>
        </w:rPr>
        <w:t>资源</w:t>
      </w:r>
      <w:r>
        <w:rPr>
          <w:rFonts w:hint="default" w:ascii="Times New Roman" w:hAnsi="Times New Roman" w:eastAsia="仿宋_GB2312" w:cs="Times New Roman"/>
          <w:kern w:val="0"/>
          <w:sz w:val="32"/>
          <w:szCs w:val="21"/>
          <w:lang w:val="zh-CN" w:eastAsia="zh-CN" w:bidi="ar-SA"/>
        </w:rPr>
        <w:t>得到深度挖掘、</w:t>
      </w:r>
      <w:r>
        <w:rPr>
          <w:rFonts w:hint="default" w:ascii="Times New Roman" w:hAnsi="Times New Roman" w:eastAsia="仿宋_GB2312" w:cs="Times New Roman"/>
          <w:kern w:val="0"/>
          <w:sz w:val="32"/>
          <w:szCs w:val="21"/>
          <w:lang w:val="en-US" w:eastAsia="zh-CN" w:bidi="ar-SA"/>
        </w:rPr>
        <w:t>系统</w:t>
      </w:r>
      <w:r>
        <w:rPr>
          <w:rFonts w:hint="default" w:ascii="Times New Roman" w:hAnsi="Times New Roman" w:eastAsia="仿宋_GB2312" w:cs="Times New Roman"/>
          <w:kern w:val="0"/>
          <w:sz w:val="32"/>
          <w:szCs w:val="21"/>
          <w:lang w:val="zh-CN" w:eastAsia="zh-CN" w:bidi="ar-SA"/>
        </w:rPr>
        <w:t>传承</w:t>
      </w:r>
      <w:r>
        <w:rPr>
          <w:rFonts w:hint="default" w:ascii="Times New Roman" w:hAnsi="Times New Roman" w:eastAsia="仿宋_GB2312" w:cs="Times New Roman"/>
          <w:kern w:val="0"/>
          <w:sz w:val="32"/>
          <w:szCs w:val="21"/>
          <w:lang w:val="en-US" w:eastAsia="zh-CN" w:bidi="ar-SA"/>
        </w:rPr>
        <w:t>和广泛</w:t>
      </w:r>
      <w:r>
        <w:rPr>
          <w:rFonts w:hint="default" w:ascii="Times New Roman" w:hAnsi="Times New Roman" w:eastAsia="仿宋_GB2312" w:cs="Times New Roman"/>
          <w:kern w:val="0"/>
          <w:sz w:val="32"/>
          <w:szCs w:val="21"/>
          <w:lang w:val="zh-CN" w:eastAsia="zh-CN" w:bidi="ar-SA"/>
        </w:rPr>
        <w:t>弘扬，水文化</w:t>
      </w:r>
      <w:r>
        <w:rPr>
          <w:rFonts w:hint="default" w:ascii="Times New Roman" w:hAnsi="Times New Roman" w:eastAsia="仿宋_GB2312" w:cs="Times New Roman"/>
          <w:kern w:val="0"/>
          <w:sz w:val="32"/>
          <w:szCs w:val="21"/>
          <w:lang w:val="en-US" w:eastAsia="zh-CN" w:bidi="ar-SA"/>
        </w:rPr>
        <w:t>展示</w:t>
      </w:r>
      <w:r>
        <w:rPr>
          <w:rFonts w:hint="default" w:ascii="Times New Roman" w:hAnsi="Times New Roman" w:eastAsia="仿宋_GB2312" w:cs="Times New Roman"/>
          <w:kern w:val="0"/>
          <w:sz w:val="32"/>
          <w:szCs w:val="21"/>
          <w:lang w:val="zh-CN" w:eastAsia="zh-CN" w:bidi="ar-SA"/>
        </w:rPr>
        <w:t>载体更加丰富多元，宣传</w:t>
      </w:r>
      <w:r>
        <w:rPr>
          <w:rFonts w:hint="default" w:ascii="Times New Roman" w:hAnsi="Times New Roman" w:eastAsia="仿宋_GB2312" w:cs="Times New Roman"/>
          <w:kern w:val="0"/>
          <w:sz w:val="32"/>
          <w:szCs w:val="21"/>
          <w:lang w:val="en-US" w:eastAsia="zh-CN" w:bidi="ar-SA"/>
        </w:rPr>
        <w:t>传播</w:t>
      </w:r>
      <w:r>
        <w:rPr>
          <w:rFonts w:hint="default" w:ascii="Times New Roman" w:hAnsi="Times New Roman" w:eastAsia="仿宋_GB2312" w:cs="Times New Roman"/>
          <w:kern w:val="0"/>
          <w:sz w:val="32"/>
          <w:szCs w:val="21"/>
          <w:lang w:val="zh-CN" w:eastAsia="zh-CN" w:bidi="ar-SA"/>
        </w:rPr>
        <w:t>力度</w:t>
      </w:r>
      <w:r>
        <w:rPr>
          <w:rFonts w:hint="default" w:ascii="Times New Roman" w:hAnsi="Times New Roman" w:eastAsia="仿宋_GB2312" w:cs="Times New Roman"/>
          <w:kern w:val="0"/>
          <w:sz w:val="32"/>
          <w:szCs w:val="21"/>
          <w:lang w:val="en-US" w:eastAsia="zh-CN" w:bidi="ar-SA"/>
        </w:rPr>
        <w:t>持续</w:t>
      </w:r>
      <w:r>
        <w:rPr>
          <w:rFonts w:hint="default" w:ascii="Times New Roman" w:hAnsi="Times New Roman" w:eastAsia="仿宋_GB2312" w:cs="Times New Roman"/>
          <w:kern w:val="0"/>
          <w:sz w:val="32"/>
          <w:szCs w:val="21"/>
          <w:lang w:val="zh-CN" w:eastAsia="zh-CN" w:bidi="ar-SA"/>
        </w:rPr>
        <w:t>加大，水文旅融合发展水平显著提升。</w:t>
      </w:r>
    </w:p>
    <w:p w14:paraId="45CA2E78">
      <w:pPr>
        <w:pStyle w:val="4"/>
        <w:spacing w:after="0" w:line="600" w:lineRule="exact"/>
        <w:ind w:firstLine="643"/>
        <w:rPr>
          <w:rFonts w:hint="default" w:ascii="Times New Roman" w:hAnsi="Times New Roman" w:cs="Times New Roman"/>
          <w:sz w:val="32"/>
          <w:szCs w:val="21"/>
          <w:lang w:val="zh-CN"/>
        </w:rPr>
      </w:pPr>
    </w:p>
    <w:p w14:paraId="2831DA92">
      <w:pPr>
        <w:pStyle w:val="2"/>
        <w:spacing w:after="340" w:line="600" w:lineRule="exact"/>
        <w:rPr>
          <w:rFonts w:hint="default" w:ascii="Times New Roman" w:hAnsi="Times New Roman" w:cs="Times New Roman"/>
          <w:sz w:val="36"/>
          <w:szCs w:val="36"/>
        </w:rPr>
      </w:pPr>
      <w:bookmarkStart w:id="198" w:name="_Toc7048"/>
      <w:bookmarkStart w:id="199" w:name="_Toc7497"/>
      <w:bookmarkStart w:id="200" w:name="_Toc3227"/>
      <w:bookmarkStart w:id="201" w:name="_Toc24338"/>
      <w:bookmarkStart w:id="202" w:name="_Toc622144288"/>
      <w:bookmarkStart w:id="203" w:name="_Toc19214"/>
      <w:bookmarkStart w:id="204" w:name="_Toc25630"/>
      <w:bookmarkStart w:id="205" w:name="_Toc215129876"/>
      <w:bookmarkStart w:id="206" w:name="_Toc30354"/>
      <w:bookmarkStart w:id="207" w:name="_Toc18918"/>
      <w:bookmarkStart w:id="208" w:name="_Toc17260"/>
      <w:bookmarkStart w:id="209" w:name="_Toc2466"/>
      <w:bookmarkStart w:id="210" w:name="_Toc5872"/>
      <w:bookmarkStart w:id="211" w:name="_Toc424284947"/>
      <w:bookmarkStart w:id="212" w:name="_Toc18790"/>
      <w:r>
        <w:rPr>
          <w:rFonts w:hint="default" w:ascii="Times New Roman" w:hAnsi="Times New Roman" w:cs="Times New Roman"/>
          <w:sz w:val="36"/>
          <w:szCs w:val="36"/>
        </w:rPr>
        <w:t>主要任务</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60967801">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十五五”时期是基本实现社会主义现代化的关键窗口期，也是水利领域夯实现代化基础、全面发力攻坚的重要阶段。习近平总书记关于“推动水利高质量发展、保障我国水安全”的重要指示要求，是当前和今后一个时期水利工作的总遵循、总方向、总任务、总要求。</w:t>
      </w:r>
      <w:r>
        <w:rPr>
          <w:rFonts w:hint="eastAsia" w:cs="Times New Roman"/>
          <w:sz w:val="32"/>
          <w:szCs w:val="32"/>
          <w:lang w:val="en-US" w:eastAsia="zh-CN"/>
        </w:rPr>
        <w:t>沙湾区</w:t>
      </w:r>
      <w:r>
        <w:rPr>
          <w:rFonts w:hint="default" w:ascii="Times New Roman" w:hAnsi="Times New Roman" w:cs="Times New Roman"/>
          <w:sz w:val="32"/>
          <w:szCs w:val="32"/>
        </w:rPr>
        <w:t>要立足长远、适度超前，紧扣“十五五”时期经济社会发展需求与国土空间开发保护格局，强化水利基础设施统筹规划、系统布局、优化配置，聚力推动开工建设一批具有全局性、战略性的重大水利工程，全面提升防洪减灾、水资源节约集约利用、水资源优化配置、江河湖库生态保护治理、水利基础设施数智化、水利治理管理六大能力，为</w:t>
      </w:r>
      <w:r>
        <w:rPr>
          <w:rFonts w:hint="eastAsia" w:cs="Times New Roman"/>
          <w:sz w:val="32"/>
          <w:szCs w:val="32"/>
          <w:lang w:val="en-US" w:eastAsia="zh-CN"/>
        </w:rPr>
        <w:t>沙湾区</w:t>
      </w:r>
      <w:r>
        <w:rPr>
          <w:rFonts w:hint="default" w:ascii="Times New Roman" w:hAnsi="Times New Roman" w:cs="Times New Roman"/>
          <w:sz w:val="32"/>
          <w:szCs w:val="32"/>
        </w:rPr>
        <w:t>基本实现社会主义现代化提供坚实有力的水安全支撑。</w:t>
      </w:r>
    </w:p>
    <w:p w14:paraId="0A8BB2CA">
      <w:pPr>
        <w:pStyle w:val="3"/>
        <w:spacing w:line="600" w:lineRule="exact"/>
        <w:rPr>
          <w:rFonts w:hint="default" w:ascii="Times New Roman" w:hAnsi="Times New Roman" w:cs="Times New Roman"/>
          <w:sz w:val="32"/>
          <w:szCs w:val="32"/>
        </w:rPr>
      </w:pPr>
      <w:bookmarkStart w:id="213" w:name="_Toc928"/>
      <w:bookmarkStart w:id="214" w:name="_Toc29833"/>
      <w:bookmarkStart w:id="215" w:name="_Toc32420"/>
      <w:bookmarkStart w:id="216" w:name="_Toc27408"/>
      <w:bookmarkStart w:id="217" w:name="_Toc23525"/>
      <w:bookmarkStart w:id="218" w:name="_Toc6024"/>
      <w:bookmarkStart w:id="219" w:name="_Toc26991"/>
      <w:bookmarkStart w:id="220" w:name="_Toc9524"/>
      <w:bookmarkStart w:id="221" w:name="_Toc22644"/>
      <w:bookmarkStart w:id="222" w:name="_Toc2037"/>
      <w:bookmarkStart w:id="223" w:name="_Toc25914"/>
      <w:bookmarkStart w:id="224" w:name="_Toc215129877"/>
      <w:bookmarkStart w:id="225" w:name="_Toc207646074"/>
      <w:bookmarkStart w:id="226" w:name="_Toc215129878"/>
      <w:bookmarkStart w:id="227" w:name="_Hlk216188286"/>
      <w:r>
        <w:rPr>
          <w:rFonts w:hint="default" w:ascii="Times New Roman" w:hAnsi="Times New Roman" w:cs="Times New Roman"/>
          <w:sz w:val="32"/>
          <w:szCs w:val="32"/>
          <w:lang w:val="en-US"/>
        </w:rPr>
        <w:t>完善安全韧性的防洪减灾</w:t>
      </w:r>
      <w:r>
        <w:rPr>
          <w:rFonts w:hint="default" w:ascii="Times New Roman" w:hAnsi="Times New Roman" w:cs="Times New Roman"/>
          <w:sz w:val="32"/>
          <w:szCs w:val="32"/>
        </w:rPr>
        <w:t>体系</w:t>
      </w:r>
      <w:bookmarkEnd w:id="213"/>
      <w:bookmarkEnd w:id="214"/>
      <w:bookmarkEnd w:id="215"/>
      <w:bookmarkEnd w:id="216"/>
      <w:bookmarkEnd w:id="217"/>
      <w:bookmarkEnd w:id="218"/>
      <w:bookmarkEnd w:id="219"/>
      <w:bookmarkEnd w:id="220"/>
      <w:bookmarkEnd w:id="221"/>
      <w:bookmarkEnd w:id="222"/>
      <w:bookmarkEnd w:id="223"/>
    </w:p>
    <w:p w14:paraId="6A8B08E4">
      <w:pPr>
        <w:pStyle w:val="33"/>
        <w:spacing w:after="0" w:line="600" w:lineRule="exact"/>
        <w:ind w:firstLine="640"/>
        <w:rPr>
          <w:rFonts w:hint="eastAsia" w:cs="Times New Roman"/>
          <w:color w:val="auto"/>
          <w:sz w:val="32"/>
          <w:szCs w:val="32"/>
          <w:lang w:eastAsia="zh-CN"/>
        </w:rPr>
      </w:pPr>
      <w:r>
        <w:rPr>
          <w:rFonts w:hint="default" w:ascii="Times New Roman" w:hAnsi="Times New Roman" w:cs="Times New Roman"/>
          <w:sz w:val="32"/>
          <w:szCs w:val="32"/>
        </w:rPr>
        <w:t>坚持“蓄泄兼筹、以泄为主”的防洪总体布局，系统构建防洪工程、雨水情监测预报、洪涝灾害防御三大体系。持续推进江河堤防达标提质，畅通流域行洪排洪通道；加快完善防洪控制性枢纽布局，增强流域洪水调蓄能力；健全洪涝灾害防治非工程体系，</w:t>
      </w:r>
      <w:r>
        <w:rPr>
          <w:rFonts w:hint="eastAsia" w:cs="Times New Roman"/>
          <w:color w:val="auto"/>
          <w:sz w:val="32"/>
          <w:szCs w:val="32"/>
          <w:lang w:eastAsia="zh-CN"/>
        </w:rPr>
        <w:t>补齐大渡河、沫溪河防洪短板，提升山洪、水库风险管控能力。</w:t>
      </w:r>
    </w:p>
    <w:p w14:paraId="073235D6">
      <w:pPr>
        <w:pStyle w:val="5"/>
        <w:numPr>
          <w:ilvl w:val="2"/>
          <w:numId w:val="3"/>
        </w:numPr>
        <w:spacing w:after="0" w:line="600" w:lineRule="exact"/>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完善防洪工程体系</w:t>
      </w:r>
    </w:p>
    <w:p w14:paraId="0B989F7A">
      <w:pPr>
        <w:pStyle w:val="33"/>
        <w:spacing w:after="0" w:line="600" w:lineRule="exact"/>
        <w:ind w:firstLine="64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color w:val="auto"/>
          <w:sz w:val="32"/>
          <w:szCs w:val="32"/>
        </w:rPr>
        <w:t>防洪水库建设。</w:t>
      </w:r>
      <w:r>
        <w:rPr>
          <w:rFonts w:hint="default" w:ascii="Times New Roman" w:hAnsi="Times New Roman" w:eastAsia="仿宋_GB2312" w:cs="Times New Roman"/>
          <w:color w:val="auto"/>
          <w:kern w:val="2"/>
          <w:sz w:val="32"/>
          <w:szCs w:val="32"/>
          <w:lang w:val="en-US" w:eastAsia="zh-CN" w:bidi="ar-SA"/>
        </w:rPr>
        <w:t>统筹龚嘴、铜街子防洪库容联合调度，进一步论证余溪水库建设的必要性和可行性，实施辖区航电库岸防护，配合市级完成大渡河干支流联合调度方案编制。</w:t>
      </w:r>
    </w:p>
    <w:p w14:paraId="41925424">
      <w:pPr>
        <w:numPr>
          <w:ilvl w:val="2"/>
          <w:numId w:val="0"/>
        </w:numPr>
        <w:spacing w:after="0" w:line="600" w:lineRule="exact"/>
        <w:ind w:firstLine="640" w:firstLineChars="200"/>
        <w:rPr>
          <w:rFonts w:hint="default" w:ascii="Times New Roman" w:hAnsi="Times New Roman" w:cs="Times New Roman"/>
          <w:color w:val="FF0000"/>
          <w:sz w:val="32"/>
          <w:szCs w:val="32"/>
        </w:rPr>
      </w:pPr>
      <w:r>
        <w:rPr>
          <w:rFonts w:hint="default" w:ascii="Times New Roman" w:hAnsi="Times New Roman" w:eastAsia="楷体_GB2312" w:cs="Times New Roman"/>
          <w:sz w:val="32"/>
          <w:szCs w:val="32"/>
        </w:rPr>
        <w:t>重点河流治理。</w:t>
      </w:r>
      <w:r>
        <w:rPr>
          <w:rFonts w:hint="default" w:ascii="Times New Roman" w:hAnsi="Times New Roman" w:eastAsia="仿宋_GB2312" w:cs="Times New Roman"/>
          <w:sz w:val="32"/>
          <w:szCs w:val="32"/>
        </w:rPr>
        <w:t>结合流域防洪布局，坚持问题导向，以堤防</w:t>
      </w:r>
      <w:r>
        <w:rPr>
          <w:rFonts w:hint="default" w:ascii="Times New Roman" w:hAnsi="Times New Roman" w:eastAsia="仿宋_GB2312" w:cs="Times New Roman"/>
          <w:color w:val="auto"/>
          <w:sz w:val="32"/>
          <w:szCs w:val="32"/>
        </w:rPr>
        <w:t>达标建设和河道整治为重点，完成大渡河左岸</w:t>
      </w:r>
      <w:r>
        <w:rPr>
          <w:rFonts w:hint="eastAsia" w:eastAsia="仿宋_GB2312" w:cs="Times New Roman"/>
          <w:color w:val="auto"/>
          <w:sz w:val="32"/>
          <w:szCs w:val="32"/>
          <w:lang w:val="en-US" w:eastAsia="zh-CN"/>
        </w:rPr>
        <w:t>刘沟村</w:t>
      </w:r>
      <w:r>
        <w:rPr>
          <w:rFonts w:hint="default" w:ascii="Times New Roman" w:hAnsi="Times New Roman" w:eastAsia="仿宋_GB2312" w:cs="Times New Roman"/>
          <w:color w:val="auto"/>
          <w:sz w:val="32"/>
          <w:szCs w:val="32"/>
        </w:rPr>
        <w:t>段防洪治理工程、大渡河左岸南广庙段防洪治理工程。</w:t>
      </w:r>
    </w:p>
    <w:p w14:paraId="52BE1A04">
      <w:pPr>
        <w:numPr>
          <w:ilvl w:val="2"/>
          <w:numId w:val="0"/>
        </w:numPr>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中小河流治理。</w:t>
      </w:r>
      <w:r>
        <w:rPr>
          <w:rFonts w:hint="default" w:ascii="Times New Roman" w:hAnsi="Times New Roman" w:eastAsia="仿宋_GB2312" w:cs="Times New Roman"/>
          <w:sz w:val="32"/>
          <w:szCs w:val="32"/>
        </w:rPr>
        <w:t>以流域为单元统筹推进中小河流综合治理，坚持流域统筹、系统治理、防洪减灾与生态修复并重的理念，遵循防灾减灾、岸固河畅、自然生态、安全经济、因地制宜、长效管护的治理</w:t>
      </w:r>
      <w:r>
        <w:rPr>
          <w:rFonts w:hint="default" w:ascii="Times New Roman" w:hAnsi="Times New Roman" w:eastAsia="仿宋_GB2312" w:cs="Times New Roman"/>
          <w:color w:val="auto"/>
          <w:sz w:val="32"/>
          <w:szCs w:val="32"/>
        </w:rPr>
        <w:t>原则，加快推进沫溪河防洪治理工程</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保障</w:t>
      </w:r>
      <w:r>
        <w:rPr>
          <w:rFonts w:hint="default" w:ascii="Times New Roman" w:hAnsi="Times New Roman" w:eastAsia="仿宋_GB2312" w:cs="Times New Roman"/>
          <w:sz w:val="32"/>
          <w:szCs w:val="32"/>
        </w:rPr>
        <w:t>河道行洪通畅，全面提升流域综合防灾减灾能力，切实保障人民生命财产安全。</w:t>
      </w:r>
    </w:p>
    <w:p w14:paraId="31F4F041">
      <w:pPr>
        <w:numPr>
          <w:ilvl w:val="2"/>
          <w:numId w:val="0"/>
        </w:numPr>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山洪灾害防治。</w:t>
      </w:r>
      <w:r>
        <w:rPr>
          <w:rFonts w:hint="default" w:ascii="Times New Roman" w:hAnsi="Times New Roman" w:eastAsia="仿宋_GB2312" w:cs="Times New Roman"/>
          <w:sz w:val="32"/>
          <w:szCs w:val="32"/>
        </w:rPr>
        <w:t>按照“防治结合、</w:t>
      </w:r>
      <w:r>
        <w:rPr>
          <w:rFonts w:hint="default" w:ascii="Times New Roman" w:hAnsi="Times New Roman" w:eastAsia="仿宋_GB2312" w:cs="Times New Roman"/>
          <w:spacing w:val="-5"/>
          <w:sz w:val="32"/>
          <w:szCs w:val="32"/>
        </w:rPr>
        <w:t>以防为主”的原则，加快山洪灾害危险区避险搬迁安置，持续推进山洪灾害防治项目建设；结合沿河村落、城集镇分布，以小流域为防治单元，聚焦“保村护镇、守点固岸、防冲消能”目标，系统规划实施</w:t>
      </w:r>
      <w:r>
        <w:rPr>
          <w:rFonts w:hint="eastAsia" w:eastAsia="仿宋_GB2312" w:cs="Times New Roman"/>
          <w:spacing w:val="-5"/>
          <w:sz w:val="32"/>
          <w:szCs w:val="32"/>
          <w:lang w:val="en-US" w:eastAsia="zh-CN"/>
        </w:rPr>
        <w:t>米房沟、</w:t>
      </w:r>
      <w:r>
        <w:rPr>
          <w:rFonts w:hint="default" w:ascii="Times New Roman" w:hAnsi="Times New Roman" w:eastAsia="仿宋_GB2312" w:cs="Times New Roman"/>
          <w:spacing w:val="-5"/>
          <w:sz w:val="32"/>
          <w:szCs w:val="32"/>
        </w:rPr>
        <w:t>眠羊溪、管山河山洪沟防洪治理，建设山洪灾害能力提升项目，提升山洪监测预警能力，健全山洪灾害防治体系。</w:t>
      </w:r>
    </w:p>
    <w:p w14:paraId="530DD668">
      <w:pPr>
        <w:numPr>
          <w:ilvl w:val="2"/>
          <w:numId w:val="0"/>
        </w:numPr>
        <w:spacing w:after="0" w:line="600" w:lineRule="exact"/>
        <w:ind w:firstLine="640" w:firstLineChars="200"/>
        <w:rPr>
          <w:rFonts w:hint="eastAsia" w:eastAsia="仿宋_GB2312" w:cs="Times New Roman"/>
          <w:sz w:val="32"/>
          <w:szCs w:val="32"/>
          <w:lang w:eastAsia="zh-CN"/>
        </w:rPr>
      </w:pPr>
      <w:r>
        <w:rPr>
          <w:rFonts w:hint="default" w:ascii="Times New Roman" w:hAnsi="Times New Roman" w:eastAsia="楷体_GB2312" w:cs="Times New Roman"/>
          <w:sz w:val="32"/>
          <w:szCs w:val="32"/>
        </w:rPr>
        <w:t>水库电站清淤。</w:t>
      </w:r>
      <w:r>
        <w:rPr>
          <w:rFonts w:hint="eastAsia" w:ascii="Times New Roman" w:hAnsi="Times New Roman" w:eastAsia="仿宋_GB2312" w:cs="Times New Roman"/>
          <w:spacing w:val="-5"/>
          <w:sz w:val="32"/>
          <w:szCs w:val="32"/>
          <w:lang w:val="en-US" w:eastAsia="zh-CN"/>
        </w:rPr>
        <w:t>对接省、市主管部门积极推进</w:t>
      </w:r>
      <w:r>
        <w:rPr>
          <w:rFonts w:hint="default" w:ascii="Times New Roman" w:hAnsi="Times New Roman" w:eastAsia="仿宋_GB2312" w:cs="Times New Roman"/>
          <w:spacing w:val="-5"/>
          <w:sz w:val="32"/>
          <w:szCs w:val="32"/>
        </w:rPr>
        <w:t>铜</w:t>
      </w:r>
      <w:r>
        <w:rPr>
          <w:rFonts w:hint="default" w:ascii="Times New Roman" w:hAnsi="Times New Roman" w:eastAsia="仿宋_GB2312" w:cs="Times New Roman"/>
          <w:sz w:val="32"/>
          <w:szCs w:val="32"/>
        </w:rPr>
        <w:t>街子水电站库区二轮清淤疏浚、完成沫江堰进水口清淤疏浚工程</w:t>
      </w:r>
      <w:r>
        <w:rPr>
          <w:rFonts w:hint="eastAsia" w:eastAsia="仿宋_GB2312" w:cs="Times New Roman"/>
          <w:sz w:val="32"/>
          <w:szCs w:val="32"/>
          <w:lang w:eastAsia="zh-CN"/>
        </w:rPr>
        <w:t>。</w:t>
      </w:r>
    </w:p>
    <w:p w14:paraId="1021DF6A">
      <w:pPr>
        <w:numPr>
          <w:ilvl w:val="2"/>
          <w:numId w:val="0"/>
        </w:numPr>
        <w:spacing w:after="0" w:line="600" w:lineRule="exact"/>
        <w:ind w:firstLine="640" w:firstLineChars="200"/>
        <w:rPr>
          <w:rFonts w:hint="default" w:ascii="Times New Roman" w:hAnsi="Times New Roman" w:eastAsia="仿宋_GB2312" w:cs="Times New Roman"/>
          <w:spacing w:val="-5"/>
          <w:sz w:val="32"/>
          <w:szCs w:val="32"/>
          <w:lang w:val="en-US" w:eastAsia="zh-CN"/>
        </w:rPr>
      </w:pPr>
      <w:r>
        <w:rPr>
          <w:rFonts w:hint="eastAsia" w:ascii="Times New Roman" w:hAnsi="Times New Roman" w:eastAsia="楷体_GB2312" w:cs="Times New Roman"/>
          <w:sz w:val="32"/>
          <w:szCs w:val="32"/>
          <w:lang w:val="en-US" w:eastAsia="zh-CN"/>
        </w:rPr>
        <w:t>抗旱能力提升</w:t>
      </w:r>
      <w:r>
        <w:rPr>
          <w:rFonts w:hint="eastAsia" w:eastAsia="仿宋_GB2312" w:cs="Times New Roman"/>
          <w:sz w:val="32"/>
          <w:szCs w:val="32"/>
          <w:lang w:val="en-US" w:eastAsia="zh-CN"/>
        </w:rPr>
        <w:t>。</w:t>
      </w:r>
      <w:r>
        <w:rPr>
          <w:rFonts w:hint="eastAsia" w:ascii="Times New Roman" w:hAnsi="Times New Roman" w:eastAsia="仿宋_GB2312" w:cs="Times New Roman"/>
          <w:spacing w:val="-5"/>
          <w:sz w:val="32"/>
          <w:szCs w:val="32"/>
          <w:lang w:val="en-US" w:eastAsia="zh-CN"/>
        </w:rPr>
        <w:t>在</w:t>
      </w:r>
      <w:r>
        <w:rPr>
          <w:rFonts w:hint="eastAsia" w:eastAsia="仿宋_GB2312" w:cs="Times New Roman"/>
          <w:spacing w:val="-5"/>
          <w:sz w:val="32"/>
          <w:szCs w:val="32"/>
          <w:lang w:val="en-US" w:eastAsia="zh-CN"/>
        </w:rPr>
        <w:t>统筹农田水利建设等项目，</w:t>
      </w:r>
      <w:r>
        <w:rPr>
          <w:rFonts w:hint="eastAsia" w:ascii="Times New Roman" w:hAnsi="Times New Roman" w:eastAsia="仿宋_GB2312" w:cs="Times New Roman"/>
          <w:spacing w:val="-5"/>
          <w:sz w:val="32"/>
          <w:szCs w:val="32"/>
          <w:lang w:val="en-US" w:eastAsia="zh-CN"/>
        </w:rPr>
        <w:t>开展抗旱提升工程建设，主要通过新建蓄水池、</w:t>
      </w:r>
      <w:r>
        <w:rPr>
          <w:rFonts w:hint="eastAsia" w:eastAsia="仿宋_GB2312" w:cs="Times New Roman"/>
          <w:spacing w:val="-5"/>
          <w:sz w:val="32"/>
          <w:szCs w:val="32"/>
          <w:lang w:val="en-US" w:eastAsia="zh-CN"/>
        </w:rPr>
        <w:t>改造</w:t>
      </w:r>
      <w:r>
        <w:rPr>
          <w:rFonts w:hint="eastAsia" w:ascii="Times New Roman" w:hAnsi="Times New Roman" w:eastAsia="仿宋_GB2312" w:cs="Times New Roman"/>
          <w:spacing w:val="-5"/>
          <w:sz w:val="32"/>
          <w:szCs w:val="32"/>
          <w:lang w:val="en-US" w:eastAsia="zh-CN"/>
        </w:rPr>
        <w:t>山坪塘、打井等措施，配套渠系和管网工程，提升抗旱能力。</w:t>
      </w:r>
    </w:p>
    <w:p w14:paraId="76456503">
      <w:pPr>
        <w:pStyle w:val="5"/>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构建雨水情监测预报体系</w:t>
      </w:r>
    </w:p>
    <w:p w14:paraId="14ABF013">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推进</w:t>
      </w:r>
      <w:r>
        <w:rPr>
          <w:rFonts w:hint="eastAsia" w:cs="Times New Roman"/>
          <w:sz w:val="32"/>
          <w:szCs w:val="32"/>
          <w:lang w:val="en-US" w:eastAsia="zh-CN"/>
        </w:rPr>
        <w:t>区</w:t>
      </w:r>
      <w:r>
        <w:rPr>
          <w:rFonts w:hint="default" w:ascii="Times New Roman" w:hAnsi="Times New Roman" w:cs="Times New Roman"/>
          <w:sz w:val="32"/>
          <w:szCs w:val="32"/>
        </w:rPr>
        <w:t>域测雨雷达组网布局与实战应用，织密水文监测站网，构建“天空地水工”一体化监测感知体系，以数字化赋能防洪“四预”能力建设，统筹旱涝联防同治。补齐重点山洪灾害风险区监测预警短板，整合气象卫星、测雨雷达、雨量站、水文站等监测资源，筑牢雨水情监测预报三道防线。深化跨部门监测数据互联互通、共建共享，依托智慧水利提升监测调度效能，有效延长洪水预见期、提升预报预警精准度，全面夯实防汛减灾现代化技术支撑。</w:t>
      </w:r>
    </w:p>
    <w:p w14:paraId="62439690">
      <w:pPr>
        <w:pStyle w:val="5"/>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健全洪涝灾害防御工作体系</w:t>
      </w:r>
    </w:p>
    <w:p w14:paraId="3853E7AD">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优化防汛防地灾联合值守机制与运行流程，健全流域联防联控、喊醒叫应、隐患排查整治闭环管理机制。完善洪涝灾害防御工作体系，推动防洪治理由控制洪水向洪水管理转变。聚焦水库、江河堤防、山洪灾害易发重点区域，建立健全责任落实、决策支持、调度指挥三大工作机制，规范防洪法治建设、洪水风险管控、防洪区管控、防洪工程运维及调度管理等重点工作，全面提升防洪治理法治化、规范化水平。完善流域洪水防御调度预案，强化极端暴雨、特大洪水及重特大险情灾情应急处置能力。</w:t>
      </w:r>
    </w:p>
    <w:p w14:paraId="38A5F963">
      <w:pPr>
        <w:pStyle w:val="33"/>
        <w:spacing w:after="0" w:line="600" w:lineRule="exact"/>
        <w:ind w:firstLine="640"/>
        <w:rPr>
          <w:rFonts w:hint="default" w:ascii="Times New Roman" w:hAnsi="Times New Roman" w:cs="Times New Roman"/>
          <w:sz w:val="32"/>
          <w:szCs w:val="32"/>
        </w:rPr>
      </w:pPr>
    </w:p>
    <w:p w14:paraId="21D53802">
      <w:pPr>
        <w:pStyle w:val="33"/>
        <w:spacing w:after="0" w:line="600" w:lineRule="exact"/>
        <w:ind w:firstLine="640"/>
        <w:rPr>
          <w:rFonts w:hint="default" w:ascii="Times New Roman" w:hAnsi="Times New Roman" w:cs="Times New Roman"/>
          <w:sz w:val="32"/>
          <w:szCs w:val="32"/>
        </w:rPr>
      </w:pPr>
    </w:p>
    <w:tbl>
      <w:tblPr>
        <w:tblStyle w:val="26"/>
        <w:tblW w:w="5000" w:type="pct"/>
        <w:tblInd w:w="0" w:type="dxa"/>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Layout w:type="autofit"/>
        <w:tblCellMar>
          <w:top w:w="0" w:type="dxa"/>
          <w:left w:w="108" w:type="dxa"/>
          <w:bottom w:w="0" w:type="dxa"/>
          <w:right w:w="108" w:type="dxa"/>
        </w:tblCellMar>
      </w:tblPr>
      <w:tblGrid>
        <w:gridCol w:w="9286"/>
      </w:tblGrid>
      <w:tr w14:paraId="64C6A7C4">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0" w:type="dxa"/>
            <w:left w:w="108" w:type="dxa"/>
            <w:bottom w:w="0" w:type="dxa"/>
            <w:right w:w="108" w:type="dxa"/>
          </w:tblCellMar>
        </w:tblPrEx>
        <w:tc>
          <w:tcPr>
            <w:tcW w:w="5000" w:type="pct"/>
            <w:tcBorders>
              <w:tl2br w:val="nil"/>
              <w:tr2bl w:val="nil"/>
            </w:tcBorders>
          </w:tcPr>
          <w:p w14:paraId="1E591C18">
            <w:pPr>
              <w:pStyle w:val="33"/>
              <w:spacing w:after="0" w:line="560" w:lineRule="exact"/>
              <w:ind w:firstLine="0" w:firstLineChars="0"/>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专栏1</w:t>
            </w:r>
            <w:r>
              <w:rPr>
                <w:rFonts w:hint="default" w:ascii="Times New Roman" w:hAnsi="Times New Roman" w:cs="Times New Roman"/>
                <w:sz w:val="32"/>
                <w:szCs w:val="32"/>
              </w:rPr>
              <w:t xml:space="preserve">  </w:t>
            </w:r>
            <w:r>
              <w:rPr>
                <w:rFonts w:hint="default" w:ascii="Times New Roman" w:hAnsi="Times New Roman" w:eastAsia="黑体" w:cs="Times New Roman"/>
                <w:sz w:val="32"/>
                <w:szCs w:val="32"/>
              </w:rPr>
              <w:t xml:space="preserve"> 防洪减灾工程</w:t>
            </w:r>
          </w:p>
        </w:tc>
      </w:tr>
      <w:tr w14:paraId="5807914D">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0" w:type="dxa"/>
            <w:left w:w="108" w:type="dxa"/>
            <w:bottom w:w="0" w:type="dxa"/>
            <w:right w:w="108" w:type="dxa"/>
          </w:tblCellMar>
        </w:tblPrEx>
        <w:tc>
          <w:tcPr>
            <w:tcW w:w="5000" w:type="pct"/>
            <w:tcBorders>
              <w:tl2br w:val="nil"/>
              <w:tr2bl w:val="nil"/>
            </w:tcBorders>
          </w:tcPr>
          <w:p w14:paraId="2A6F4DF1">
            <w:pPr>
              <w:pStyle w:val="33"/>
              <w:spacing w:after="0" w:line="276" w:lineRule="auto"/>
              <w:ind w:firstLine="562"/>
              <w:rPr>
                <w:rFonts w:hint="default" w:ascii="Times New Roman" w:hAnsi="Times New Roman" w:eastAsia="楷体_GB2312" w:cs="Times New Roman"/>
                <w:b/>
                <w:bCs/>
              </w:rPr>
            </w:pPr>
            <w:r>
              <w:rPr>
                <w:rFonts w:hint="default" w:ascii="Times New Roman" w:hAnsi="Times New Roman" w:eastAsia="楷体_GB2312" w:cs="Times New Roman"/>
                <w:b/>
                <w:bCs/>
              </w:rPr>
              <w:t>防洪水库建设。</w:t>
            </w:r>
            <w:r>
              <w:rPr>
                <w:rFonts w:hint="default" w:ascii="Times New Roman" w:hAnsi="Times New Roman" w:eastAsia="楷体_GB2312" w:cs="Times New Roman"/>
              </w:rPr>
              <w:t>进一步论证余溪水库建设的必要性和可行性。</w:t>
            </w:r>
          </w:p>
          <w:p w14:paraId="2DD1A637">
            <w:pPr>
              <w:pStyle w:val="33"/>
              <w:spacing w:after="0" w:line="276" w:lineRule="auto"/>
              <w:ind w:firstLine="562"/>
              <w:rPr>
                <w:rFonts w:hint="eastAsia" w:ascii="Times New Roman" w:hAnsi="Times New Roman" w:eastAsia="楷体_GB2312" w:cs="Times New Roman"/>
                <w:lang w:eastAsia="zh-CN"/>
              </w:rPr>
            </w:pPr>
            <w:r>
              <w:rPr>
                <w:rFonts w:hint="default" w:ascii="Times New Roman" w:hAnsi="Times New Roman" w:eastAsia="楷体_GB2312" w:cs="Times New Roman"/>
                <w:b/>
                <w:bCs/>
              </w:rPr>
              <w:t>重点河流治理。</w:t>
            </w:r>
            <w:r>
              <w:rPr>
                <w:rFonts w:hint="eastAsia" w:eastAsia="楷体_GB2312" w:cs="Times New Roman"/>
                <w:lang w:val="en-US" w:eastAsia="zh-CN"/>
              </w:rPr>
              <w:t>推进</w:t>
            </w:r>
            <w:r>
              <w:rPr>
                <w:rFonts w:hint="eastAsia" w:eastAsia="楷体_GB2312" w:cs="Times New Roman"/>
                <w:lang w:eastAsia="zh-CN"/>
              </w:rPr>
              <w:t>大渡河左岸生态河许埂—杨子坝段防洪治理工程、大渡河左岸生态河红猫堰—李坝段防洪治理工程、大渡河左岸许坝—通天庙段防洪治理工程、大渡河左岸生态河官坝防洪治理工程</w:t>
            </w:r>
            <w:r>
              <w:rPr>
                <w:rFonts w:hint="eastAsia" w:eastAsia="楷体_GB2312" w:cs="Times New Roman"/>
                <w:lang w:val="en-US" w:eastAsia="zh-CN"/>
              </w:rPr>
              <w:t>前期工作，完成大渡河左岸南广庙段防洪治理工程</w:t>
            </w:r>
            <w:r>
              <w:rPr>
                <w:rFonts w:hint="eastAsia" w:eastAsia="楷体_GB2312" w:cs="Times New Roman"/>
                <w:lang w:eastAsia="zh-CN"/>
              </w:rPr>
              <w:t>、大渡河左岸刘沟村段防洪治理工程。</w:t>
            </w:r>
          </w:p>
          <w:p w14:paraId="22AFD979">
            <w:pPr>
              <w:pStyle w:val="33"/>
              <w:spacing w:after="0" w:line="276" w:lineRule="auto"/>
              <w:ind w:firstLine="562"/>
              <w:rPr>
                <w:rFonts w:hint="default" w:ascii="Times New Roman" w:hAnsi="Times New Roman" w:eastAsia="楷体_GB2312" w:cs="Times New Roman"/>
              </w:rPr>
            </w:pPr>
            <w:r>
              <w:rPr>
                <w:rFonts w:hint="default" w:ascii="Times New Roman" w:hAnsi="Times New Roman" w:eastAsia="楷体_GB2312" w:cs="Times New Roman"/>
                <w:b/>
                <w:bCs/>
              </w:rPr>
              <w:t>中小河流治理。</w:t>
            </w:r>
            <w:r>
              <w:rPr>
                <w:rFonts w:hint="default" w:ascii="Times New Roman" w:hAnsi="Times New Roman" w:eastAsia="楷体_GB2312" w:cs="Times New Roman"/>
              </w:rPr>
              <w:t>建成沫溪河防洪治理工程。</w:t>
            </w:r>
          </w:p>
          <w:p w14:paraId="1DA3FC17">
            <w:pPr>
              <w:pStyle w:val="33"/>
              <w:spacing w:after="0" w:line="276" w:lineRule="auto"/>
              <w:ind w:firstLine="562"/>
              <w:rPr>
                <w:rFonts w:hint="eastAsia" w:ascii="Times New Roman" w:hAnsi="Times New Roman" w:eastAsia="楷体_GB2312" w:cs="Times New Roman"/>
                <w:b/>
                <w:bCs/>
                <w:lang w:eastAsia="zh-CN"/>
              </w:rPr>
            </w:pPr>
            <w:r>
              <w:rPr>
                <w:rFonts w:hint="default" w:ascii="Times New Roman" w:hAnsi="Times New Roman" w:eastAsia="楷体_GB2312" w:cs="Times New Roman"/>
                <w:b/>
                <w:bCs/>
              </w:rPr>
              <w:t>山洪灾害防治。</w:t>
            </w:r>
            <w:r>
              <w:rPr>
                <w:rFonts w:hint="default" w:ascii="Times New Roman" w:hAnsi="Times New Roman" w:eastAsia="楷体_GB2312" w:cs="Times New Roman"/>
              </w:rPr>
              <w:t>开工建设</w:t>
            </w:r>
            <w:r>
              <w:rPr>
                <w:rFonts w:hint="eastAsia" w:eastAsia="楷体_GB2312" w:cs="Times New Roman"/>
                <w:lang w:val="en-US" w:eastAsia="zh-CN"/>
              </w:rPr>
              <w:t>米房沟、</w:t>
            </w:r>
            <w:r>
              <w:rPr>
                <w:rFonts w:hint="default" w:ascii="Times New Roman" w:hAnsi="Times New Roman" w:eastAsia="楷体_GB2312" w:cs="Times New Roman"/>
                <w:spacing w:val="-6"/>
              </w:rPr>
              <w:t>眠羊溪</w:t>
            </w:r>
            <w:r>
              <w:rPr>
                <w:rFonts w:hint="default" w:ascii="Times New Roman" w:hAnsi="Times New Roman" w:eastAsia="楷体_GB2312" w:cs="Times New Roman"/>
              </w:rPr>
              <w:t>、管山河</w:t>
            </w:r>
            <w:r>
              <w:rPr>
                <w:rFonts w:hint="eastAsia" w:eastAsia="楷体_GB2312" w:cs="Times New Roman"/>
                <w:lang w:val="en-US" w:eastAsia="zh-CN"/>
              </w:rPr>
              <w:t>3</w:t>
            </w:r>
            <w:r>
              <w:rPr>
                <w:rFonts w:hint="default" w:ascii="Times New Roman" w:hAnsi="Times New Roman" w:eastAsia="楷体_GB2312" w:cs="Times New Roman"/>
              </w:rPr>
              <w:t>条山洪沟防洪治理。新（改）建规范化山洪应急避险安置点85个</w:t>
            </w:r>
            <w:r>
              <w:rPr>
                <w:rFonts w:hint="eastAsia" w:eastAsia="楷体_GB2312" w:cs="Times New Roman"/>
                <w:lang w:eastAsia="zh-CN"/>
              </w:rPr>
              <w:t>。</w:t>
            </w:r>
          </w:p>
          <w:p w14:paraId="11A25842">
            <w:pPr>
              <w:pStyle w:val="33"/>
              <w:spacing w:after="0" w:line="276" w:lineRule="auto"/>
              <w:ind w:firstLine="562"/>
              <w:rPr>
                <w:rFonts w:hint="default" w:ascii="Times New Roman" w:hAnsi="Times New Roman" w:eastAsia="楷体_GB2312" w:cs="Times New Roman"/>
              </w:rPr>
            </w:pPr>
            <w:r>
              <w:rPr>
                <w:rFonts w:hint="eastAsia" w:eastAsia="楷体_GB2312" w:cs="Times New Roman"/>
                <w:b/>
                <w:bCs/>
                <w:lang w:val="en-US" w:eastAsia="zh-CN"/>
              </w:rPr>
              <w:t>水库电站清淤</w:t>
            </w:r>
            <w:r>
              <w:rPr>
                <w:rFonts w:hint="default" w:ascii="Times New Roman" w:hAnsi="Times New Roman" w:eastAsia="楷体_GB2312" w:cs="Times New Roman"/>
                <w:b/>
                <w:bCs/>
              </w:rPr>
              <w:t>。</w:t>
            </w:r>
            <w:r>
              <w:rPr>
                <w:rFonts w:hint="eastAsia" w:eastAsia="楷体_GB2312" w:cs="Times New Roman"/>
                <w:lang w:val="en-US" w:eastAsia="zh-CN"/>
              </w:rPr>
              <w:t>推进</w:t>
            </w:r>
            <w:r>
              <w:rPr>
                <w:rFonts w:hint="default" w:ascii="Times New Roman" w:hAnsi="Times New Roman" w:eastAsia="楷体_GB2312" w:cs="Times New Roman"/>
              </w:rPr>
              <w:t>铜街子水电站库区二轮清淤疏浚</w:t>
            </w:r>
            <w:r>
              <w:rPr>
                <w:rFonts w:hint="eastAsia" w:eastAsia="楷体_GB2312" w:cs="Times New Roman"/>
                <w:lang w:val="en-US" w:eastAsia="zh-CN"/>
              </w:rPr>
              <w:t>前期工作</w:t>
            </w:r>
            <w:r>
              <w:rPr>
                <w:rFonts w:hint="eastAsia" w:eastAsia="楷体_GB2312" w:cs="Times New Roman"/>
                <w:lang w:eastAsia="zh-CN"/>
              </w:rPr>
              <w:t>、</w:t>
            </w:r>
            <w:r>
              <w:rPr>
                <w:rFonts w:hint="eastAsia" w:eastAsia="楷体_GB2312" w:cs="Times New Roman"/>
                <w:lang w:val="en-US" w:eastAsia="zh-CN"/>
              </w:rPr>
              <w:t>完成</w:t>
            </w:r>
            <w:r>
              <w:rPr>
                <w:rFonts w:hint="eastAsia" w:eastAsia="楷体_GB2312" w:cs="Times New Roman"/>
                <w:lang w:eastAsia="zh-CN"/>
              </w:rPr>
              <w:t>沫江堰进水口清淤疏浚工程</w:t>
            </w:r>
            <w:r>
              <w:rPr>
                <w:rFonts w:hint="default" w:ascii="Times New Roman" w:hAnsi="Times New Roman" w:eastAsia="楷体_GB2312" w:cs="Times New Roman"/>
              </w:rPr>
              <w:t>。</w:t>
            </w:r>
          </w:p>
          <w:p w14:paraId="7B62263A">
            <w:pPr>
              <w:pStyle w:val="33"/>
              <w:spacing w:after="0" w:line="276" w:lineRule="auto"/>
              <w:ind w:firstLine="550"/>
              <w:rPr>
                <w:rFonts w:hint="default" w:ascii="Times New Roman" w:hAnsi="Times New Roman" w:eastAsia="楷体_GB2312" w:cs="Times New Roman"/>
                <w:spacing w:val="-6"/>
              </w:rPr>
            </w:pPr>
            <w:r>
              <w:rPr>
                <w:rFonts w:hint="eastAsia" w:eastAsia="楷体_GB2312" w:cs="Times New Roman"/>
                <w:b/>
                <w:bCs/>
                <w:spacing w:val="-6"/>
                <w:lang w:val="en-US" w:eastAsia="zh-CN"/>
              </w:rPr>
              <w:t>抗旱提升项目</w:t>
            </w:r>
            <w:r>
              <w:rPr>
                <w:rFonts w:hint="default" w:ascii="Times New Roman" w:hAnsi="Times New Roman" w:eastAsia="楷体_GB2312" w:cs="Times New Roman"/>
                <w:b/>
                <w:bCs/>
                <w:spacing w:val="-6"/>
              </w:rPr>
              <w:t>。</w:t>
            </w:r>
            <w:r>
              <w:rPr>
                <w:rFonts w:hint="default" w:ascii="Times New Roman" w:hAnsi="Times New Roman" w:eastAsia="楷体_GB2312" w:cs="Times New Roman"/>
              </w:rPr>
              <w:t>在全区开展抗旱提升工程建设，主要通过新建蓄水池、</w:t>
            </w:r>
            <w:r>
              <w:rPr>
                <w:rFonts w:hint="eastAsia" w:eastAsia="楷体_GB2312" w:cs="Times New Roman"/>
                <w:lang w:val="en-US" w:eastAsia="zh-CN"/>
              </w:rPr>
              <w:t>改造</w:t>
            </w:r>
            <w:r>
              <w:rPr>
                <w:rFonts w:hint="default" w:ascii="Times New Roman" w:hAnsi="Times New Roman" w:eastAsia="楷体_GB2312" w:cs="Times New Roman"/>
              </w:rPr>
              <w:t>山坪塘、打井等措施，配套渠系和管网工程，提升抗旱能力。</w:t>
            </w:r>
          </w:p>
        </w:tc>
      </w:tr>
    </w:tbl>
    <w:p w14:paraId="52A1AECB">
      <w:pPr>
        <w:pStyle w:val="3"/>
        <w:spacing w:line="600" w:lineRule="exact"/>
        <w:rPr>
          <w:rFonts w:hint="default" w:ascii="Times New Roman" w:hAnsi="Times New Roman" w:cs="Times New Roman"/>
          <w:sz w:val="32"/>
          <w:szCs w:val="32"/>
        </w:rPr>
      </w:pPr>
      <w:bookmarkStart w:id="228" w:name="_Toc9957"/>
      <w:bookmarkStart w:id="229" w:name="_Toc8651"/>
      <w:bookmarkStart w:id="230" w:name="_Toc7858"/>
      <w:bookmarkStart w:id="231" w:name="_Toc8900"/>
      <w:bookmarkStart w:id="232" w:name="_Toc5366"/>
      <w:bookmarkStart w:id="233" w:name="_Toc32681"/>
      <w:bookmarkStart w:id="234" w:name="_Toc4865"/>
      <w:bookmarkStart w:id="235" w:name="_Toc18263"/>
      <w:bookmarkStart w:id="236" w:name="_Toc28773"/>
      <w:bookmarkStart w:id="237" w:name="_Toc11974"/>
      <w:bookmarkStart w:id="238" w:name="_Toc31428"/>
      <w:r>
        <w:rPr>
          <w:rFonts w:hint="default" w:ascii="Times New Roman" w:hAnsi="Times New Roman" w:cs="Times New Roman"/>
          <w:sz w:val="32"/>
          <w:szCs w:val="32"/>
          <w:lang w:val="en-US"/>
        </w:rPr>
        <w:t>健全集约高效的水资源优化配置体系</w:t>
      </w:r>
      <w:bookmarkEnd w:id="228"/>
      <w:bookmarkEnd w:id="229"/>
      <w:bookmarkEnd w:id="230"/>
      <w:bookmarkEnd w:id="231"/>
      <w:bookmarkEnd w:id="232"/>
      <w:bookmarkEnd w:id="233"/>
      <w:bookmarkEnd w:id="234"/>
      <w:bookmarkEnd w:id="235"/>
      <w:bookmarkEnd w:id="236"/>
      <w:bookmarkEnd w:id="237"/>
      <w:bookmarkEnd w:id="238"/>
    </w:p>
    <w:p w14:paraId="42DB93E4">
      <w:pPr>
        <w:pStyle w:val="4"/>
        <w:spacing w:after="0" w:line="600" w:lineRule="exact"/>
        <w:ind w:firstLine="640"/>
        <w:rPr>
          <w:rFonts w:hint="default" w:ascii="Times New Roman" w:hAnsi="Times New Roman" w:cs="Times New Roman"/>
          <w:sz w:val="32"/>
          <w:szCs w:val="21"/>
          <w:lang w:val="zh-CN"/>
        </w:rPr>
      </w:pPr>
      <w:r>
        <w:rPr>
          <w:rFonts w:hint="default" w:ascii="Times New Roman" w:hAnsi="Times New Roman" w:cs="Times New Roman"/>
          <w:sz w:val="32"/>
          <w:szCs w:val="21"/>
          <w:lang w:val="zh-CN"/>
        </w:rPr>
        <w:t>坚持以水定城、以水定地、以水定人、以水定产，严守水资源节约集约利用底线，以全面提升供水安全保障能力为</w:t>
      </w:r>
      <w:r>
        <w:rPr>
          <w:rFonts w:hint="default" w:ascii="Times New Roman" w:hAnsi="Times New Roman" w:cs="Times New Roman"/>
          <w:sz w:val="32"/>
          <w:szCs w:val="21"/>
        </w:rPr>
        <w:t>核心</w:t>
      </w:r>
      <w:r>
        <w:rPr>
          <w:rFonts w:hint="default" w:ascii="Times New Roman" w:hAnsi="Times New Roman" w:cs="Times New Roman"/>
          <w:sz w:val="32"/>
          <w:szCs w:val="21"/>
          <w:lang w:val="zh-CN"/>
        </w:rPr>
        <w:t>目标，聚焦供水保障工程联网、补网、强链</w:t>
      </w:r>
      <w:r>
        <w:rPr>
          <w:rFonts w:hint="default" w:ascii="Times New Roman" w:hAnsi="Times New Roman" w:cs="Times New Roman"/>
          <w:sz w:val="32"/>
          <w:szCs w:val="21"/>
        </w:rPr>
        <w:t>的重点任务</w:t>
      </w:r>
      <w:r>
        <w:rPr>
          <w:rFonts w:hint="default" w:ascii="Times New Roman" w:hAnsi="Times New Roman" w:cs="Times New Roman"/>
          <w:sz w:val="32"/>
          <w:szCs w:val="21"/>
          <w:lang w:val="zh-CN"/>
        </w:rPr>
        <w:t>，</w:t>
      </w:r>
      <w:r>
        <w:rPr>
          <w:rFonts w:hint="default" w:ascii="Times New Roman" w:hAnsi="Times New Roman" w:cs="Times New Roman"/>
          <w:sz w:val="32"/>
          <w:szCs w:val="21"/>
        </w:rPr>
        <w:t>畅通</w:t>
      </w:r>
      <w:r>
        <w:rPr>
          <w:rFonts w:hint="default" w:ascii="Times New Roman" w:hAnsi="Times New Roman" w:cs="Times New Roman"/>
          <w:sz w:val="32"/>
          <w:szCs w:val="21"/>
          <w:lang w:val="zh-CN"/>
        </w:rPr>
        <w:t>骨干输水通道，</w:t>
      </w:r>
      <w:r>
        <w:rPr>
          <w:rFonts w:hint="default" w:ascii="Times New Roman" w:hAnsi="Times New Roman" w:cs="Times New Roman"/>
          <w:sz w:val="32"/>
          <w:szCs w:val="21"/>
        </w:rPr>
        <w:t>完善</w:t>
      </w:r>
      <w:r>
        <w:rPr>
          <w:rFonts w:hint="default" w:ascii="Times New Roman" w:hAnsi="Times New Roman" w:cs="Times New Roman"/>
          <w:sz w:val="32"/>
          <w:szCs w:val="21"/>
          <w:lang w:val="zh-CN"/>
        </w:rPr>
        <w:t>区域干支水网</w:t>
      </w:r>
      <w:r>
        <w:rPr>
          <w:rFonts w:hint="default" w:ascii="Times New Roman" w:hAnsi="Times New Roman" w:cs="Times New Roman"/>
          <w:sz w:val="32"/>
          <w:szCs w:val="21"/>
        </w:rPr>
        <w:t>布局</w:t>
      </w:r>
      <w:r>
        <w:rPr>
          <w:rFonts w:hint="default" w:ascii="Times New Roman" w:hAnsi="Times New Roman" w:cs="Times New Roman"/>
          <w:sz w:val="32"/>
          <w:szCs w:val="21"/>
          <w:lang w:val="zh-CN"/>
        </w:rPr>
        <w:t>，构建多源互补、丰枯调剂、统筹调控的水资源配置</w:t>
      </w:r>
      <w:r>
        <w:rPr>
          <w:rFonts w:hint="default" w:ascii="Times New Roman" w:hAnsi="Times New Roman" w:cs="Times New Roman"/>
          <w:sz w:val="32"/>
          <w:szCs w:val="21"/>
        </w:rPr>
        <w:t>格局</w:t>
      </w:r>
      <w:r>
        <w:rPr>
          <w:rFonts w:hint="default" w:ascii="Times New Roman" w:hAnsi="Times New Roman" w:cs="Times New Roman"/>
          <w:sz w:val="32"/>
          <w:szCs w:val="21"/>
          <w:lang w:val="zh-CN"/>
        </w:rPr>
        <w:t>，</w:t>
      </w:r>
      <w:r>
        <w:rPr>
          <w:rFonts w:hint="default" w:ascii="Times New Roman" w:hAnsi="Times New Roman" w:cs="Times New Roman"/>
          <w:sz w:val="32"/>
          <w:szCs w:val="21"/>
        </w:rPr>
        <w:t>持续增强</w:t>
      </w:r>
      <w:r>
        <w:rPr>
          <w:rFonts w:hint="default" w:ascii="Times New Roman" w:hAnsi="Times New Roman" w:cs="Times New Roman"/>
          <w:sz w:val="32"/>
          <w:szCs w:val="21"/>
          <w:lang w:val="zh-CN"/>
        </w:rPr>
        <w:t>水资源</w:t>
      </w:r>
      <w:r>
        <w:rPr>
          <w:rFonts w:hint="default" w:ascii="Times New Roman" w:hAnsi="Times New Roman" w:cs="Times New Roman"/>
          <w:sz w:val="32"/>
          <w:szCs w:val="21"/>
        </w:rPr>
        <w:t>统一调度与优化配置</w:t>
      </w:r>
      <w:r>
        <w:rPr>
          <w:rFonts w:hint="default" w:ascii="Times New Roman" w:hAnsi="Times New Roman" w:cs="Times New Roman"/>
          <w:sz w:val="32"/>
          <w:szCs w:val="21"/>
          <w:lang w:val="zh-CN"/>
        </w:rPr>
        <w:t>能力，</w:t>
      </w:r>
      <w:r>
        <w:rPr>
          <w:rFonts w:hint="default" w:ascii="Times New Roman" w:hAnsi="Times New Roman" w:cs="Times New Roman"/>
          <w:sz w:val="32"/>
          <w:szCs w:val="21"/>
        </w:rPr>
        <w:t>促进</w:t>
      </w:r>
      <w:r>
        <w:rPr>
          <w:rFonts w:hint="default" w:ascii="Times New Roman" w:hAnsi="Times New Roman" w:cs="Times New Roman"/>
          <w:sz w:val="32"/>
          <w:szCs w:val="21"/>
          <w:lang w:val="zh-CN"/>
        </w:rPr>
        <w:t>水资源空间均衡、时序互补，全方位</w:t>
      </w:r>
      <w:r>
        <w:rPr>
          <w:rFonts w:hint="default" w:ascii="Times New Roman" w:hAnsi="Times New Roman" w:cs="Times New Roman"/>
          <w:sz w:val="32"/>
          <w:szCs w:val="21"/>
        </w:rPr>
        <w:t>夯实全</w:t>
      </w:r>
      <w:r>
        <w:rPr>
          <w:rFonts w:hint="eastAsia" w:ascii="Times New Roman" w:cs="Times New Roman"/>
          <w:sz w:val="32"/>
          <w:szCs w:val="21"/>
          <w:lang w:val="en-US" w:eastAsia="zh-CN"/>
        </w:rPr>
        <w:t>区</w:t>
      </w:r>
      <w:r>
        <w:rPr>
          <w:rFonts w:hint="default" w:ascii="Times New Roman" w:hAnsi="Times New Roman" w:cs="Times New Roman"/>
          <w:sz w:val="32"/>
          <w:szCs w:val="21"/>
          <w:lang w:val="zh-CN"/>
        </w:rPr>
        <w:t>供水安全</w:t>
      </w:r>
      <w:r>
        <w:rPr>
          <w:rFonts w:hint="default" w:ascii="Times New Roman" w:hAnsi="Times New Roman" w:cs="Times New Roman"/>
          <w:sz w:val="32"/>
          <w:szCs w:val="21"/>
        </w:rPr>
        <w:t>坚实根基</w:t>
      </w:r>
      <w:r>
        <w:rPr>
          <w:rFonts w:hint="default" w:ascii="Times New Roman" w:hAnsi="Times New Roman" w:cs="Times New Roman"/>
          <w:sz w:val="32"/>
          <w:szCs w:val="21"/>
          <w:lang w:val="zh-CN"/>
        </w:rPr>
        <w:t>。</w:t>
      </w:r>
    </w:p>
    <w:p w14:paraId="5F1ECB80">
      <w:pPr>
        <w:pStyle w:val="5"/>
        <w:numPr>
          <w:ilvl w:val="2"/>
          <w:numId w:val="4"/>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加强水资源节约集约利用</w:t>
      </w:r>
    </w:p>
    <w:p w14:paraId="29D89195">
      <w:pPr>
        <w:pStyle w:val="33"/>
        <w:spacing w:after="0" w:line="600" w:lineRule="exact"/>
        <w:ind w:firstLine="640"/>
        <w:rPr>
          <w:rFonts w:hint="default" w:ascii="Times New Roman" w:hAnsi="Times New Roman" w:cs="Times New Roman"/>
          <w:sz w:val="32"/>
          <w:szCs w:val="32"/>
        </w:rPr>
      </w:pPr>
      <w:r>
        <w:rPr>
          <w:rFonts w:hint="default" w:ascii="Times New Roman" w:hAnsi="Times New Roman" w:eastAsia="楷体_GB2312" w:cs="Times New Roman"/>
          <w:sz w:val="32"/>
          <w:szCs w:val="32"/>
        </w:rPr>
        <w:t>强化水资源刚性约束。</w:t>
      </w:r>
      <w:r>
        <w:rPr>
          <w:rFonts w:hint="default" w:ascii="Times New Roman" w:hAnsi="Times New Roman" w:cs="Times New Roman"/>
          <w:sz w:val="32"/>
          <w:szCs w:val="32"/>
        </w:rPr>
        <w:t>深入实施国家节水行动，持续开展节水型企业</w:t>
      </w:r>
      <w:r>
        <w:rPr>
          <w:rFonts w:hint="default" w:ascii="Times New Roman" w:hAnsi="Times New Roman" w:cs="Times New Roman"/>
          <w:color w:val="auto"/>
          <w:sz w:val="32"/>
          <w:szCs w:val="32"/>
        </w:rPr>
        <w:t>、节水型单位、节水型小区等节水载体创建和节水宣传活动，提高广大群众节水意识。坚持四水四定，合理控制水资源开发利用强度，到2030年，全市用水总量控制在</w:t>
      </w:r>
      <w:r>
        <w:rPr>
          <w:rFonts w:hint="eastAsia" w:cs="Times New Roman"/>
          <w:color w:val="auto"/>
          <w:sz w:val="32"/>
          <w:szCs w:val="32"/>
          <w:lang w:val="en-US" w:eastAsia="zh-CN"/>
        </w:rPr>
        <w:t>0.85</w:t>
      </w:r>
      <w:r>
        <w:rPr>
          <w:rFonts w:hint="default" w:ascii="Times New Roman" w:hAnsi="Times New Roman" w:cs="Times New Roman"/>
          <w:color w:val="auto"/>
          <w:sz w:val="32"/>
          <w:szCs w:val="32"/>
        </w:rPr>
        <w:t>亿m³以内。</w:t>
      </w:r>
    </w:p>
    <w:p w14:paraId="5EA04CEF">
      <w:pPr>
        <w:pStyle w:val="33"/>
        <w:spacing w:after="0" w:line="600" w:lineRule="exact"/>
        <w:ind w:firstLine="640"/>
        <w:rPr>
          <w:rFonts w:hint="default" w:ascii="Times New Roman" w:hAnsi="Times New Roman" w:cs="Times New Roman"/>
          <w:sz w:val="32"/>
          <w:szCs w:val="32"/>
        </w:rPr>
      </w:pPr>
      <w:r>
        <w:rPr>
          <w:rFonts w:hint="default" w:ascii="Times New Roman" w:hAnsi="Times New Roman" w:eastAsia="楷体_GB2312" w:cs="Times New Roman"/>
          <w:sz w:val="32"/>
          <w:szCs w:val="32"/>
        </w:rPr>
        <w:t>加强重点领域节水。</w:t>
      </w:r>
      <w:r>
        <w:rPr>
          <w:rFonts w:hint="default" w:ascii="Times New Roman" w:hAnsi="Times New Roman" w:cs="Times New Roman"/>
          <w:sz w:val="32"/>
          <w:szCs w:val="32"/>
        </w:rPr>
        <w:t>坚持节水优先，全面落实国家节水行动方案和四川省节水行动实施方案，聚焦农业、工业、城镇、非常规水源利用等重点领域，提升水资源节约集约利用水平。大力推进农业节水增效、工业节水减排、城镇节水降损，至2030年，全市万元GDP用水量、万元工业增加值用水量下降幅度满足</w:t>
      </w:r>
      <w:r>
        <w:rPr>
          <w:rFonts w:hint="eastAsia" w:cs="Times New Roman"/>
          <w:sz w:val="32"/>
          <w:szCs w:val="32"/>
          <w:lang w:val="en-US" w:eastAsia="zh-CN"/>
        </w:rPr>
        <w:t>市级</w:t>
      </w:r>
      <w:r>
        <w:rPr>
          <w:rFonts w:hint="default" w:ascii="Times New Roman" w:hAnsi="Times New Roman" w:cs="Times New Roman"/>
          <w:sz w:val="32"/>
          <w:szCs w:val="32"/>
        </w:rPr>
        <w:t>下达指标。</w:t>
      </w:r>
    </w:p>
    <w:p w14:paraId="6E8348A3">
      <w:pPr>
        <w:pStyle w:val="33"/>
        <w:spacing w:after="0" w:line="600" w:lineRule="exact"/>
        <w:ind w:firstLine="640"/>
        <w:rPr>
          <w:rFonts w:hint="default" w:ascii="Times New Roman" w:hAnsi="Times New Roman" w:cs="Times New Roman"/>
          <w:sz w:val="32"/>
          <w:szCs w:val="32"/>
        </w:rPr>
      </w:pPr>
      <w:r>
        <w:rPr>
          <w:rFonts w:hint="default" w:ascii="Times New Roman" w:hAnsi="Times New Roman" w:eastAsia="楷体_GB2312" w:cs="Times New Roman"/>
          <w:sz w:val="32"/>
          <w:szCs w:val="32"/>
        </w:rPr>
        <w:t>加大再生水利用力度。</w:t>
      </w:r>
      <w:r>
        <w:rPr>
          <w:rFonts w:hint="default" w:ascii="Times New Roman" w:hAnsi="Times New Roman" w:cs="Times New Roman"/>
          <w:sz w:val="32"/>
          <w:szCs w:val="32"/>
        </w:rPr>
        <w:t>立足“工业强市”战略，加强工业节水，至2030年，确保重点工业集中区再生水利用率满足省级下达目标，对经论证暂不具备再生水利用条件的区域，待条件成熟后按要求配置利用再生水。</w:t>
      </w:r>
    </w:p>
    <w:p w14:paraId="736C1631">
      <w:pPr>
        <w:pStyle w:val="5"/>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提升重点区域水资源保障能力</w:t>
      </w:r>
    </w:p>
    <w:p w14:paraId="19FDF1F9">
      <w:pPr>
        <w:pStyle w:val="33"/>
        <w:spacing w:after="0" w:line="600" w:lineRule="exact"/>
        <w:ind w:firstLine="566" w:firstLineChars="177"/>
        <w:rPr>
          <w:rFonts w:hint="default" w:ascii="Times New Roman" w:hAnsi="Times New Roman" w:cs="Times New Roman"/>
          <w:sz w:val="32"/>
          <w:szCs w:val="32"/>
        </w:rPr>
      </w:pPr>
      <w:r>
        <w:rPr>
          <w:rFonts w:hint="default" w:ascii="Times New Roman" w:hAnsi="Times New Roman" w:eastAsia="楷体_GB2312" w:cs="Times New Roman"/>
          <w:sz w:val="32"/>
          <w:szCs w:val="32"/>
        </w:rPr>
        <w:t>完善重点区域水资源配置体系。</w:t>
      </w:r>
      <w:r>
        <w:rPr>
          <w:rFonts w:hint="eastAsia" w:ascii="Times New Roman" w:hAnsi="Times New Roman" w:cs="Times New Roman"/>
          <w:sz w:val="32"/>
          <w:szCs w:val="32"/>
          <w:lang w:val="en-US" w:eastAsia="zh-CN"/>
        </w:rPr>
        <w:t>开展河东片区引调水工程、河东片区水资源配置工程、河西片区水资源配置工程、经济开发区水资源配置优化提升项目的前期工作</w:t>
      </w:r>
      <w:r>
        <w:rPr>
          <w:rFonts w:hint="default" w:ascii="Times New Roman" w:hAnsi="Times New Roman" w:cs="Times New Roman"/>
          <w:sz w:val="32"/>
          <w:szCs w:val="32"/>
        </w:rPr>
        <w:t>，</w:t>
      </w:r>
      <w:r>
        <w:rPr>
          <w:rFonts w:hint="eastAsia" w:ascii="Times New Roman" w:hAnsi="Times New Roman" w:cs="Times New Roman"/>
          <w:sz w:val="32"/>
          <w:szCs w:val="32"/>
          <w:lang w:val="en-US" w:eastAsia="zh-CN"/>
        </w:rPr>
        <w:t>适时启动项目建设，</w:t>
      </w:r>
      <w:r>
        <w:rPr>
          <w:rFonts w:hint="default" w:ascii="Times New Roman" w:hAnsi="Times New Roman" w:cs="Times New Roman"/>
          <w:sz w:val="32"/>
          <w:szCs w:val="32"/>
        </w:rPr>
        <w:t>持续改善区域水生态环境。</w:t>
      </w:r>
    </w:p>
    <w:p w14:paraId="42DBAB1F">
      <w:pPr>
        <w:pStyle w:val="33"/>
        <w:spacing w:after="0" w:line="600" w:lineRule="exact"/>
        <w:ind w:firstLine="640"/>
        <w:rPr>
          <w:rFonts w:hint="default" w:ascii="Times New Roman" w:hAnsi="Times New Roman" w:eastAsia="仿宋_GB2312" w:cs="Times New Roman"/>
          <w:kern w:val="0"/>
          <w:sz w:val="32"/>
          <w:szCs w:val="21"/>
          <w:lang w:val="en-US" w:eastAsia="zh-CN" w:bidi="ar-SA"/>
        </w:rPr>
      </w:pPr>
      <w:r>
        <w:rPr>
          <w:rFonts w:hint="default" w:ascii="Times New Roman" w:hAnsi="Times New Roman" w:eastAsia="楷体_GB2312" w:cs="Times New Roman"/>
          <w:sz w:val="32"/>
          <w:szCs w:val="32"/>
        </w:rPr>
        <w:t>推进重点水源工程建设。</w:t>
      </w:r>
      <w:r>
        <w:rPr>
          <w:rFonts w:hint="default" w:ascii="Times New Roman" w:hAnsi="Times New Roman" w:eastAsia="仿宋_GB2312" w:cs="Times New Roman"/>
          <w:kern w:val="0"/>
          <w:sz w:val="32"/>
          <w:szCs w:val="21"/>
          <w:lang w:val="en-US" w:eastAsia="zh-CN" w:bidi="ar-SA"/>
        </w:rPr>
        <w:t>加快余溪水库建成投运，解决</w:t>
      </w:r>
      <w:r>
        <w:rPr>
          <w:rFonts w:hint="eastAsia" w:ascii="Times New Roman" w:hAnsi="Times New Roman" w:cs="Times New Roman"/>
          <w:kern w:val="0"/>
          <w:sz w:val="32"/>
          <w:szCs w:val="21"/>
          <w:lang w:val="en-US" w:eastAsia="zh-CN" w:bidi="ar-SA"/>
        </w:rPr>
        <w:t>沙湾镇</w:t>
      </w:r>
      <w:r>
        <w:rPr>
          <w:rFonts w:hint="default" w:ascii="Times New Roman" w:hAnsi="Times New Roman" w:eastAsia="仿宋_GB2312" w:cs="Times New Roman"/>
          <w:kern w:val="0"/>
          <w:sz w:val="32"/>
          <w:szCs w:val="21"/>
          <w:lang w:val="en-US" w:eastAsia="zh-CN" w:bidi="ar-SA"/>
        </w:rPr>
        <w:t>相关区域耕地灌溉及城乡居民生产生活用水问题，提升供水保障和抗旱减灾能力，完善区域调蓄配套工程体系。</w:t>
      </w:r>
    </w:p>
    <w:p w14:paraId="13E3E306">
      <w:pPr>
        <w:pStyle w:val="5"/>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提升城乡供水保障水平</w:t>
      </w:r>
    </w:p>
    <w:p w14:paraId="10BF70CE">
      <w:pPr>
        <w:pStyle w:val="33"/>
        <w:spacing w:after="0" w:line="600" w:lineRule="exact"/>
        <w:ind w:firstLine="640"/>
        <w:rPr>
          <w:rFonts w:hint="default" w:ascii="Times New Roman" w:hAnsi="Times New Roman" w:cs="Times New Roman"/>
          <w:sz w:val="32"/>
          <w:szCs w:val="32"/>
        </w:rPr>
      </w:pPr>
      <w:r>
        <w:rPr>
          <w:rFonts w:hint="default" w:ascii="Times New Roman" w:hAnsi="Times New Roman" w:eastAsia="楷体_GB2312" w:cs="Times New Roman"/>
          <w:sz w:val="32"/>
          <w:szCs w:val="32"/>
        </w:rPr>
        <w:t>强化城市供水多源保障。</w:t>
      </w:r>
      <w:r>
        <w:rPr>
          <w:rFonts w:hint="default" w:ascii="Times New Roman" w:hAnsi="Times New Roman" w:cs="Times New Roman"/>
          <w:sz w:val="32"/>
          <w:szCs w:val="32"/>
        </w:rPr>
        <w:t>加快城市供水设施改造建设，推进城市应急水源地建设或双源供水，提升应急供水能力。遵循多源互补、联防联控、常备备用、风险可控原则，统筹推进重点水源、应急备用水源、城镇集中供水设施以及输配水管网新建与改造提质，健全城市双水源、多水源的供水格局，夯实城乡供水安全底线。强化水资源统一调度与精细化配置，健全饮用水安全管控体系，完善供水应急预案，常态化开展应急演练，提升多水源联合调度能力及极端条件下城市应急供水、抗风险水平。</w:t>
      </w:r>
    </w:p>
    <w:p w14:paraId="3A8702C6">
      <w:pPr>
        <w:pStyle w:val="33"/>
        <w:spacing w:after="0" w:line="600" w:lineRule="exact"/>
        <w:ind w:firstLine="640"/>
        <w:rPr>
          <w:rFonts w:hint="default" w:ascii="Times New Roman" w:hAnsi="Times New Roman" w:cs="Times New Roman"/>
          <w:sz w:val="32"/>
          <w:szCs w:val="32"/>
        </w:rPr>
      </w:pPr>
      <w:r>
        <w:rPr>
          <w:rFonts w:hint="default" w:ascii="Times New Roman" w:hAnsi="Times New Roman" w:eastAsia="楷体_GB2312" w:cs="Times New Roman"/>
          <w:sz w:val="32"/>
          <w:szCs w:val="32"/>
        </w:rPr>
        <w:t>大力保障工业园区供水。</w:t>
      </w:r>
      <w:r>
        <w:rPr>
          <w:rFonts w:hint="eastAsia" w:eastAsia="楷体_GB2312" w:cs="Times New Roman"/>
          <w:sz w:val="32"/>
          <w:szCs w:val="32"/>
          <w:lang w:val="en-US" w:eastAsia="zh-CN"/>
        </w:rPr>
        <w:t>沙湾区</w:t>
      </w:r>
      <w:r>
        <w:rPr>
          <w:rFonts w:hint="default" w:ascii="Times New Roman" w:hAnsi="Times New Roman" w:cs="Times New Roman"/>
          <w:sz w:val="32"/>
          <w:szCs w:val="32"/>
        </w:rPr>
        <w:t>当前供水主要依托城市公共水厂和企业自备水源。持续深化工业节水改造，加大再生水资源化利用力度，依托大渡河骨干水源，规划新建工业供水水厂，优化多水源统筹调配体系，保障各产业发展用水，有力支撑“工业强市”战略落地。</w:t>
      </w:r>
    </w:p>
    <w:p w14:paraId="4B3AF404">
      <w:pPr>
        <w:pStyle w:val="33"/>
        <w:spacing w:after="0" w:line="600" w:lineRule="exact"/>
        <w:ind w:firstLine="640"/>
        <w:rPr>
          <w:rFonts w:hint="default" w:ascii="Times New Roman" w:hAnsi="Times New Roman" w:cs="Times New Roman"/>
          <w:sz w:val="32"/>
          <w:szCs w:val="32"/>
        </w:rPr>
      </w:pPr>
      <w:r>
        <w:rPr>
          <w:rFonts w:hint="default" w:ascii="Times New Roman" w:hAnsi="Times New Roman" w:eastAsia="楷体_GB2312" w:cs="Times New Roman"/>
          <w:sz w:val="32"/>
          <w:szCs w:val="32"/>
        </w:rPr>
        <w:t>加快推动农村供水高质量发展。</w:t>
      </w:r>
      <w:r>
        <w:rPr>
          <w:rFonts w:hint="default" w:ascii="Times New Roman" w:hAnsi="Times New Roman" w:cs="Times New Roman"/>
          <w:sz w:val="32"/>
          <w:szCs w:val="32"/>
        </w:rPr>
        <w:t>落实四川省农村供水高质量发展规划，按照“城乡统筹、区域集中、互通共济、协同发展”原则，强化农村饮水安全巩固提升，推进县域城乡供水一体化、农村供水规模化标准化建设，实施沙湾区农村供水工程维修养护工程等项目，推动城乡供水融合发展。分类推进农村供水“3+1”标准化建设和管护模式，优先推进城乡供水一体化，大力发展农村集中供水规模化，因地制宜实施小型供水工程规范化建设与改造，全面推进县域统管、专业化管理全覆盖的管护模式。分区域推进农村供水提升，</w:t>
      </w:r>
      <w:r>
        <w:rPr>
          <w:rFonts w:hint="eastAsia" w:cs="Times New Roman"/>
          <w:sz w:val="32"/>
          <w:szCs w:val="32"/>
          <w:lang w:val="en-US" w:eastAsia="zh-CN"/>
        </w:rPr>
        <w:t>城区</w:t>
      </w:r>
      <w:r>
        <w:rPr>
          <w:rFonts w:hint="default" w:ascii="Times New Roman" w:hAnsi="Times New Roman" w:cs="Times New Roman"/>
          <w:sz w:val="32"/>
          <w:szCs w:val="32"/>
        </w:rPr>
        <w:t>依托城市水厂及规模化供水设施，延伸联通供水管网，扩大规模化供水覆盖范围，稳步推进城乡供水一体化；偏远区域因地制宜建设“五小”水利工程，推进小型供水工程规范化提质改造，筑牢农村供水安全底线，提升农村供水保障水平。</w:t>
      </w:r>
    </w:p>
    <w:p w14:paraId="1E5FBFB9">
      <w:pPr>
        <w:pStyle w:val="5"/>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推进灌区现代化建设与改造</w:t>
      </w:r>
    </w:p>
    <w:p w14:paraId="65CC4052">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按照“先挖潜、后配套，先改建、后新建”的原则，推进</w:t>
      </w:r>
      <w:r>
        <w:rPr>
          <w:rFonts w:hint="eastAsia" w:cs="Times New Roman"/>
          <w:sz w:val="32"/>
          <w:szCs w:val="32"/>
          <w:lang w:val="en-US" w:eastAsia="zh-CN"/>
        </w:rPr>
        <w:t>红猫堰</w:t>
      </w:r>
      <w:r>
        <w:rPr>
          <w:rFonts w:hint="default" w:ascii="Times New Roman" w:hAnsi="Times New Roman" w:cs="Times New Roman"/>
          <w:sz w:val="32"/>
          <w:szCs w:val="32"/>
        </w:rPr>
        <w:t>中型灌区续建配套与现代化改造，完善</w:t>
      </w:r>
      <w:r>
        <w:rPr>
          <w:rFonts w:hint="eastAsia" w:cs="Times New Roman"/>
          <w:sz w:val="32"/>
          <w:szCs w:val="32"/>
          <w:lang w:val="en-US" w:eastAsia="zh-CN"/>
        </w:rPr>
        <w:t>沙湾区</w:t>
      </w:r>
      <w:r>
        <w:rPr>
          <w:rFonts w:hint="default" w:ascii="Times New Roman" w:hAnsi="Times New Roman" w:cs="Times New Roman"/>
          <w:sz w:val="32"/>
          <w:szCs w:val="32"/>
        </w:rPr>
        <w:t>高标准农田水资源配置体系，提高灌溉供水保障率，提高农业综合生产能力，保障粮食生产供水安全，推动建设一批高标准、高水平、高质量集中连片粮油千亩高产区。</w:t>
      </w:r>
    </w:p>
    <w:p w14:paraId="0177FA2B">
      <w:pPr>
        <w:pStyle w:val="5"/>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推进小型农田水利建设</w:t>
      </w:r>
    </w:p>
    <w:p w14:paraId="1135F08D">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打通农业灌溉“最后一公里”，加快补齐小型农田水利工程短板，围绕更高水平“天府粮仓”建设，聚焦高标准农田以外区域农田水利设施老化失修和中型灌区渠系衔接不畅等突出问题，集中连片推进小型农田水利工程提质改造。因地制宜建设建设一批山坪塘、蓄水池、石河堰、提灌站、小渠道等小型农田水利设施，配套改造末级灌排渠道、提灌设施，打通农田灌溉“最后一公里”。持续修复改善小型水源工程保障能力，畅通灌区渠系水系改善农村生产生活用水条件，实现灌区骨干工程与高标准农田高效衔接，检查建管并重，确保“建一片、成一片、见效一片”，充分发挥工程整体效益，筑牢粮食安全水利基础，赋能乡村全面振兴。</w:t>
      </w:r>
    </w:p>
    <w:p w14:paraId="636B7487">
      <w:pPr>
        <w:pStyle w:val="5"/>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积极发展流域经济</w:t>
      </w:r>
    </w:p>
    <w:p w14:paraId="0642F774">
      <w:pPr>
        <w:pStyle w:val="33"/>
        <w:spacing w:after="0"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统筹水网与水电开发融合，发挥龚嘴、铜街子等梯级</w:t>
      </w:r>
      <w:r>
        <w:rPr>
          <w:rFonts w:hint="eastAsia" w:cs="Times New Roman"/>
          <w:sz w:val="32"/>
          <w:szCs w:val="32"/>
          <w:lang w:val="en-US" w:eastAsia="zh-CN"/>
        </w:rPr>
        <w:t>电站</w:t>
      </w:r>
      <w:r>
        <w:rPr>
          <w:rFonts w:hint="default" w:ascii="Times New Roman" w:hAnsi="Times New Roman" w:cs="Times New Roman"/>
          <w:sz w:val="32"/>
          <w:szCs w:val="32"/>
        </w:rPr>
        <w:t>防洪、供水、生态调节的综合效益，优化水电站联合调度，落实生态流量管控；锚定“双碳”目标，依托现有水利设施，科学谋划抽水蓄能</w:t>
      </w:r>
      <w:r>
        <w:rPr>
          <w:rFonts w:hint="eastAsia" w:cs="Times New Roman"/>
          <w:sz w:val="32"/>
          <w:szCs w:val="32"/>
          <w:lang w:val="en-US" w:eastAsia="zh-CN"/>
        </w:rPr>
        <w:t>和沫水航电</w:t>
      </w:r>
      <w:r>
        <w:rPr>
          <w:rFonts w:hint="default" w:ascii="Times New Roman" w:hAnsi="Times New Roman" w:cs="Times New Roman"/>
          <w:sz w:val="32"/>
          <w:szCs w:val="32"/>
        </w:rPr>
        <w:t>项目，推动水风光多能互补融合发展，持续提高水资源集约节约利用水平与水利绿色低碳发展价值。</w:t>
      </w:r>
    </w:p>
    <w:p w14:paraId="7A83D099">
      <w:pPr>
        <w:pStyle w:val="33"/>
        <w:spacing w:after="0" w:line="600" w:lineRule="exact"/>
        <w:ind w:left="0" w:leftChars="0" w:firstLine="0" w:firstLineChars="0"/>
        <w:rPr>
          <w:rFonts w:hint="default" w:ascii="Times New Roman" w:hAnsi="Times New Roman" w:cs="Times New Roman"/>
          <w:sz w:val="32"/>
          <w:szCs w:val="32"/>
        </w:rPr>
      </w:pPr>
    </w:p>
    <w:p w14:paraId="29B99871">
      <w:pPr>
        <w:pStyle w:val="33"/>
        <w:spacing w:after="0" w:line="600" w:lineRule="exact"/>
        <w:ind w:firstLine="640"/>
        <w:rPr>
          <w:rFonts w:hint="default" w:ascii="Times New Roman" w:hAnsi="Times New Roman" w:cs="Times New Roman"/>
          <w:sz w:val="32"/>
          <w:szCs w:val="32"/>
        </w:rPr>
      </w:pPr>
    </w:p>
    <w:tbl>
      <w:tblPr>
        <w:tblStyle w:val="26"/>
        <w:tblW w:w="5000" w:type="pct"/>
        <w:tblInd w:w="0" w:type="dxa"/>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Layout w:type="autofit"/>
        <w:tblCellMar>
          <w:top w:w="0" w:type="dxa"/>
          <w:left w:w="108" w:type="dxa"/>
          <w:bottom w:w="0" w:type="dxa"/>
          <w:right w:w="108" w:type="dxa"/>
        </w:tblCellMar>
      </w:tblPr>
      <w:tblGrid>
        <w:gridCol w:w="9286"/>
      </w:tblGrid>
      <w:tr w14:paraId="72C4A1A4">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0" w:type="dxa"/>
            <w:left w:w="108" w:type="dxa"/>
            <w:bottom w:w="0" w:type="dxa"/>
            <w:right w:w="108" w:type="dxa"/>
          </w:tblCellMar>
        </w:tblPrEx>
        <w:tc>
          <w:tcPr>
            <w:tcW w:w="5000" w:type="pct"/>
            <w:tcBorders>
              <w:tl2br w:val="nil"/>
              <w:tr2bl w:val="nil"/>
            </w:tcBorders>
          </w:tcPr>
          <w:p w14:paraId="256C4C9F">
            <w:pPr>
              <w:pStyle w:val="33"/>
              <w:spacing w:after="0" w:line="560" w:lineRule="exact"/>
              <w:ind w:firstLine="0" w:firstLineChars="0"/>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专栏2</w:t>
            </w:r>
            <w:r>
              <w:rPr>
                <w:rFonts w:hint="default" w:ascii="Times New Roman" w:hAnsi="Times New Roman" w:cs="Times New Roman"/>
                <w:sz w:val="32"/>
                <w:szCs w:val="32"/>
              </w:rPr>
              <w:t xml:space="preserve">  </w:t>
            </w:r>
            <w:r>
              <w:rPr>
                <w:rFonts w:hint="default" w:ascii="Times New Roman" w:hAnsi="Times New Roman" w:eastAsia="黑体" w:cs="Times New Roman"/>
                <w:sz w:val="32"/>
                <w:szCs w:val="32"/>
              </w:rPr>
              <w:t xml:space="preserve"> 水资源配置工程</w:t>
            </w:r>
          </w:p>
        </w:tc>
      </w:tr>
      <w:tr w14:paraId="0197BF00">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0" w:type="dxa"/>
            <w:left w:w="108" w:type="dxa"/>
            <w:bottom w:w="0" w:type="dxa"/>
            <w:right w:w="108" w:type="dxa"/>
          </w:tblCellMar>
        </w:tblPrEx>
        <w:tc>
          <w:tcPr>
            <w:tcW w:w="5000" w:type="pct"/>
            <w:tcBorders>
              <w:tl2br w:val="nil"/>
              <w:tr2bl w:val="nil"/>
            </w:tcBorders>
          </w:tcPr>
          <w:p w14:paraId="325AF5DF">
            <w:pPr>
              <w:pStyle w:val="33"/>
              <w:spacing w:after="0" w:line="276" w:lineRule="auto"/>
              <w:ind w:firstLine="562"/>
              <w:rPr>
                <w:rFonts w:hint="default" w:ascii="Times New Roman" w:hAnsi="Times New Roman" w:eastAsia="楷体_GB2312" w:cs="Times New Roman"/>
              </w:rPr>
            </w:pPr>
            <w:r>
              <w:rPr>
                <w:rFonts w:hint="default" w:ascii="Times New Roman" w:hAnsi="Times New Roman" w:eastAsia="楷体_GB2312" w:cs="Times New Roman"/>
                <w:b/>
                <w:bCs/>
              </w:rPr>
              <w:t>重要引调水工程。</w:t>
            </w:r>
            <w:r>
              <w:rPr>
                <w:rFonts w:hint="eastAsia" w:eastAsia="楷体_GB2312" w:cs="Times New Roman"/>
                <w:lang w:val="en-US" w:eastAsia="zh-CN"/>
              </w:rPr>
              <w:t>开展</w:t>
            </w:r>
            <w:r>
              <w:rPr>
                <w:rFonts w:hint="default" w:ascii="Times New Roman" w:hAnsi="Times New Roman" w:eastAsia="楷体_GB2312" w:cs="Times New Roman"/>
              </w:rPr>
              <w:t>河东片区引调水工程、河东片区水资源配置工程</w:t>
            </w:r>
            <w:r>
              <w:rPr>
                <w:rFonts w:hint="eastAsia" w:eastAsia="楷体_GB2312" w:cs="Times New Roman"/>
                <w:lang w:val="en-US" w:eastAsia="zh-CN"/>
              </w:rPr>
              <w:t>前期工作</w:t>
            </w:r>
            <w:r>
              <w:rPr>
                <w:rFonts w:hint="default" w:ascii="Times New Roman" w:hAnsi="Times New Roman" w:eastAsia="楷体_GB2312" w:cs="Times New Roman"/>
              </w:rPr>
              <w:t>。</w:t>
            </w:r>
          </w:p>
          <w:p w14:paraId="3F045793">
            <w:pPr>
              <w:pStyle w:val="33"/>
              <w:spacing w:after="0" w:line="276" w:lineRule="auto"/>
              <w:ind w:firstLine="562"/>
              <w:rPr>
                <w:rFonts w:hint="default" w:ascii="Times New Roman" w:hAnsi="Times New Roman" w:eastAsia="楷体_GB2312" w:cs="Times New Roman"/>
                <w:b/>
                <w:bCs/>
              </w:rPr>
            </w:pPr>
            <w:r>
              <w:rPr>
                <w:rFonts w:hint="default" w:ascii="Times New Roman" w:hAnsi="Times New Roman" w:eastAsia="楷体_GB2312" w:cs="Times New Roman"/>
                <w:b/>
                <w:bCs/>
              </w:rPr>
              <w:t>重点水源工程。</w:t>
            </w:r>
            <w:r>
              <w:rPr>
                <w:rFonts w:hint="default" w:ascii="Times New Roman" w:hAnsi="Times New Roman" w:eastAsia="楷体_GB2312" w:cs="Times New Roman"/>
              </w:rPr>
              <w:t>加快余溪水库水库</w:t>
            </w:r>
            <w:r>
              <w:rPr>
                <w:rFonts w:hint="eastAsia" w:eastAsia="楷体_GB2312" w:cs="Times New Roman"/>
                <w:lang w:val="en-US" w:eastAsia="zh-CN"/>
              </w:rPr>
              <w:t>前期论证，推进沙湾经开区水资源配置项目</w:t>
            </w:r>
            <w:r>
              <w:rPr>
                <w:rFonts w:hint="default" w:ascii="Times New Roman" w:hAnsi="Times New Roman" w:eastAsia="楷体_GB2312" w:cs="Times New Roman"/>
              </w:rPr>
              <w:t>。</w:t>
            </w:r>
          </w:p>
          <w:p w14:paraId="0156F003">
            <w:pPr>
              <w:pStyle w:val="33"/>
              <w:spacing w:after="0" w:line="276" w:lineRule="auto"/>
              <w:ind w:firstLine="562"/>
              <w:rPr>
                <w:rFonts w:hint="default" w:ascii="Times New Roman" w:hAnsi="Times New Roman" w:eastAsia="楷体_GB2312" w:cs="Times New Roman"/>
              </w:rPr>
            </w:pPr>
            <w:r>
              <w:rPr>
                <w:rFonts w:hint="default" w:ascii="Times New Roman" w:hAnsi="Times New Roman" w:eastAsia="楷体_GB2312" w:cs="Times New Roman"/>
                <w:b/>
                <w:bCs/>
              </w:rPr>
              <w:t>灌区工程。</w:t>
            </w:r>
            <w:r>
              <w:rPr>
                <w:rFonts w:hint="default" w:ascii="Times New Roman" w:hAnsi="Times New Roman" w:eastAsia="楷体_GB2312" w:cs="Times New Roman"/>
              </w:rPr>
              <w:t>大力推进红猫堰中型灌区续建配套与现代化改造项目，力争开工建设。加快小型灌区提升改造项目的</w:t>
            </w:r>
            <w:r>
              <w:rPr>
                <w:rFonts w:hint="eastAsia" w:eastAsia="楷体_GB2312" w:cs="Times New Roman"/>
                <w:lang w:val="en-US" w:eastAsia="zh-CN"/>
              </w:rPr>
              <w:t>建设</w:t>
            </w:r>
            <w:r>
              <w:rPr>
                <w:rFonts w:hint="default" w:ascii="Times New Roman" w:hAnsi="Times New Roman" w:eastAsia="楷体_GB2312" w:cs="Times New Roman"/>
              </w:rPr>
              <w:t>进程。</w:t>
            </w:r>
          </w:p>
          <w:p w14:paraId="00F5E8D0">
            <w:pPr>
              <w:pStyle w:val="33"/>
              <w:spacing w:after="0" w:line="276" w:lineRule="auto"/>
              <w:ind w:firstLine="562"/>
              <w:rPr>
                <w:rFonts w:hint="default" w:ascii="Times New Roman" w:hAnsi="Times New Roman" w:eastAsia="楷体_GB2312" w:cs="Times New Roman"/>
              </w:rPr>
            </w:pPr>
            <w:r>
              <w:rPr>
                <w:rFonts w:hint="default" w:ascii="Times New Roman" w:hAnsi="Times New Roman" w:eastAsia="楷体_GB2312" w:cs="Times New Roman"/>
                <w:b/>
                <w:bCs/>
              </w:rPr>
              <w:t>城乡供水工程。</w:t>
            </w:r>
            <w:r>
              <w:rPr>
                <w:rFonts w:hint="eastAsia" w:eastAsia="楷体_GB2312" w:cs="Times New Roman"/>
                <w:lang w:val="en-US" w:eastAsia="zh-CN"/>
              </w:rPr>
              <w:t>开展</w:t>
            </w:r>
            <w:r>
              <w:rPr>
                <w:rFonts w:hint="default" w:ascii="Times New Roman" w:hAnsi="Times New Roman" w:eastAsia="楷体_GB2312" w:cs="Times New Roman"/>
              </w:rPr>
              <w:t>嘉农镇全域供水保障工程、沙湾区城乡饮水提升工程</w:t>
            </w:r>
            <w:r>
              <w:rPr>
                <w:rFonts w:hint="eastAsia" w:eastAsia="楷体_GB2312" w:cs="Times New Roman"/>
                <w:lang w:val="en-US" w:eastAsia="zh-CN"/>
              </w:rPr>
              <w:t>前期工作，完成</w:t>
            </w:r>
            <w:r>
              <w:rPr>
                <w:rFonts w:hint="default" w:ascii="Times New Roman" w:hAnsi="Times New Roman" w:eastAsia="楷体_GB2312" w:cs="Times New Roman"/>
              </w:rPr>
              <w:t>沙湾区城市供水管网改造提升工程、沙湾区2025年农村供水工程提质增效项目、沙湾区农村供水工程维修养护工程等项目。</w:t>
            </w:r>
          </w:p>
        </w:tc>
      </w:tr>
      <w:bookmarkEnd w:id="224"/>
      <w:bookmarkEnd w:id="225"/>
      <w:bookmarkEnd w:id="226"/>
    </w:tbl>
    <w:p w14:paraId="358CEB0F">
      <w:pPr>
        <w:pStyle w:val="3"/>
        <w:spacing w:line="600" w:lineRule="exact"/>
        <w:rPr>
          <w:rFonts w:hint="default" w:ascii="Times New Roman" w:hAnsi="Times New Roman" w:cs="Times New Roman"/>
          <w:sz w:val="32"/>
          <w:szCs w:val="32"/>
        </w:rPr>
      </w:pPr>
      <w:bookmarkStart w:id="239" w:name="_Toc14812"/>
      <w:bookmarkStart w:id="240" w:name="_Toc21791"/>
      <w:bookmarkStart w:id="241" w:name="_Toc23068"/>
      <w:bookmarkStart w:id="242" w:name="_Toc32437"/>
      <w:bookmarkStart w:id="243" w:name="_Toc5502"/>
      <w:bookmarkStart w:id="244" w:name="_Toc2343"/>
      <w:bookmarkStart w:id="245" w:name="_Toc23893"/>
      <w:bookmarkStart w:id="246" w:name="_Toc31495"/>
      <w:bookmarkStart w:id="247" w:name="_Toc6653"/>
      <w:bookmarkStart w:id="248" w:name="_Toc18630"/>
      <w:bookmarkStart w:id="249" w:name="_Toc5980"/>
      <w:r>
        <w:rPr>
          <w:rFonts w:hint="default" w:ascii="Times New Roman" w:hAnsi="Times New Roman" w:cs="Times New Roman"/>
          <w:sz w:val="32"/>
          <w:szCs w:val="32"/>
          <w:lang w:val="en-US"/>
        </w:rPr>
        <w:t>打造</w:t>
      </w:r>
      <w:r>
        <w:rPr>
          <w:rFonts w:hint="default" w:ascii="Times New Roman" w:hAnsi="Times New Roman" w:cs="Times New Roman"/>
          <w:sz w:val="32"/>
          <w:szCs w:val="21"/>
        </w:rPr>
        <w:t>人水和谐</w:t>
      </w:r>
      <w:r>
        <w:rPr>
          <w:rFonts w:hint="default" w:ascii="Times New Roman" w:hAnsi="Times New Roman" w:cs="Times New Roman"/>
          <w:sz w:val="32"/>
          <w:szCs w:val="32"/>
          <w:lang w:val="en-US"/>
        </w:rPr>
        <w:t>的</w:t>
      </w:r>
      <w:r>
        <w:rPr>
          <w:rFonts w:hint="default" w:ascii="Times New Roman" w:hAnsi="Times New Roman" w:cs="Times New Roman"/>
          <w:sz w:val="32"/>
          <w:szCs w:val="32"/>
        </w:rPr>
        <w:t>河湖</w:t>
      </w:r>
      <w:r>
        <w:rPr>
          <w:rFonts w:hint="default" w:ascii="Times New Roman" w:hAnsi="Times New Roman" w:cs="Times New Roman"/>
          <w:sz w:val="32"/>
          <w:szCs w:val="32"/>
          <w:lang w:val="en-US"/>
        </w:rPr>
        <w:t>保护</w:t>
      </w:r>
      <w:r>
        <w:rPr>
          <w:rFonts w:hint="default" w:ascii="Times New Roman" w:hAnsi="Times New Roman" w:cs="Times New Roman"/>
          <w:sz w:val="32"/>
          <w:szCs w:val="32"/>
        </w:rPr>
        <w:t>治理体系</w:t>
      </w:r>
      <w:bookmarkEnd w:id="239"/>
      <w:bookmarkEnd w:id="240"/>
      <w:bookmarkEnd w:id="241"/>
      <w:bookmarkEnd w:id="242"/>
      <w:bookmarkEnd w:id="243"/>
      <w:bookmarkEnd w:id="244"/>
      <w:bookmarkEnd w:id="245"/>
      <w:bookmarkEnd w:id="246"/>
      <w:bookmarkEnd w:id="247"/>
      <w:bookmarkEnd w:id="248"/>
      <w:bookmarkEnd w:id="249"/>
    </w:p>
    <w:p w14:paraId="06CB0BE9">
      <w:pPr>
        <w:pStyle w:val="4"/>
        <w:spacing w:after="0" w:line="600" w:lineRule="exact"/>
        <w:ind w:firstLine="640"/>
        <w:rPr>
          <w:rFonts w:hint="default" w:ascii="Times New Roman" w:hAnsi="Times New Roman" w:cs="Times New Roman"/>
          <w:sz w:val="32"/>
          <w:szCs w:val="21"/>
          <w:lang w:val="zh-CN"/>
        </w:rPr>
      </w:pPr>
      <w:r>
        <w:rPr>
          <w:rFonts w:hint="default" w:ascii="Times New Roman" w:hAnsi="Times New Roman" w:cs="Times New Roman"/>
          <w:sz w:val="32"/>
          <w:szCs w:val="21"/>
        </w:rPr>
        <w:t>坚守</w:t>
      </w:r>
      <w:r>
        <w:rPr>
          <w:rFonts w:hint="default" w:ascii="Times New Roman" w:hAnsi="Times New Roman" w:cs="Times New Roman"/>
          <w:sz w:val="32"/>
          <w:szCs w:val="21"/>
          <w:lang w:val="zh-CN"/>
        </w:rPr>
        <w:t>人水和谐共生理念，以构建全域协同的水生态保护治理体系为统领，立足沙湾 “大渡河干流 + 沫溪河” 水生态格局，</w:t>
      </w:r>
      <w:r>
        <w:rPr>
          <w:rFonts w:hint="default" w:ascii="Times New Roman" w:hAnsi="Times New Roman" w:cs="Times New Roman"/>
          <w:sz w:val="32"/>
          <w:szCs w:val="21"/>
        </w:rPr>
        <w:t>聚焦重点区域水生态环境突出问题，</w:t>
      </w:r>
      <w:r>
        <w:rPr>
          <w:rFonts w:hint="default" w:ascii="Times New Roman" w:hAnsi="Times New Roman" w:cs="Times New Roman"/>
          <w:sz w:val="32"/>
          <w:szCs w:val="21"/>
          <w:lang w:val="zh-CN"/>
        </w:rPr>
        <w:t>分区分类</w:t>
      </w:r>
      <w:r>
        <w:rPr>
          <w:rFonts w:hint="default" w:ascii="Times New Roman" w:hAnsi="Times New Roman" w:cs="Times New Roman"/>
          <w:sz w:val="32"/>
          <w:szCs w:val="21"/>
        </w:rPr>
        <w:t>施策推进河湖生态保护与修复。</w:t>
      </w:r>
      <w:r>
        <w:rPr>
          <w:rFonts w:hint="default" w:ascii="Times New Roman" w:hAnsi="Times New Roman" w:cs="Times New Roman"/>
          <w:sz w:val="32"/>
          <w:szCs w:val="21"/>
          <w:lang w:val="zh-CN"/>
        </w:rPr>
        <w:t>严格河湖水生态空间管控，持续</w:t>
      </w:r>
      <w:r>
        <w:rPr>
          <w:rFonts w:hint="default" w:ascii="Times New Roman" w:hAnsi="Times New Roman" w:cs="Times New Roman"/>
          <w:sz w:val="32"/>
          <w:szCs w:val="21"/>
        </w:rPr>
        <w:t>加强</w:t>
      </w:r>
      <w:r>
        <w:rPr>
          <w:rFonts w:hint="default" w:ascii="Times New Roman" w:hAnsi="Times New Roman" w:cs="Times New Roman"/>
          <w:sz w:val="32"/>
          <w:szCs w:val="21"/>
          <w:lang w:val="zh-CN"/>
        </w:rPr>
        <w:t>水土流失预防与综合治理，加快</w:t>
      </w:r>
      <w:r>
        <w:rPr>
          <w:rFonts w:hint="default" w:ascii="Times New Roman" w:hAnsi="Times New Roman" w:cs="Times New Roman"/>
          <w:sz w:val="32"/>
          <w:szCs w:val="21"/>
        </w:rPr>
        <w:t>构建</w:t>
      </w:r>
      <w:r>
        <w:rPr>
          <w:rFonts w:hint="default" w:ascii="Times New Roman" w:hAnsi="Times New Roman" w:cs="Times New Roman"/>
          <w:sz w:val="32"/>
          <w:szCs w:val="21"/>
          <w:lang w:val="zh-CN"/>
        </w:rPr>
        <w:t>重要河</w:t>
      </w:r>
      <w:r>
        <w:rPr>
          <w:rFonts w:hint="default" w:ascii="Times New Roman" w:hAnsi="Times New Roman" w:cs="Times New Roman"/>
          <w:sz w:val="32"/>
          <w:szCs w:val="21"/>
        </w:rPr>
        <w:t>库</w:t>
      </w:r>
      <w:r>
        <w:rPr>
          <w:rFonts w:hint="default" w:ascii="Times New Roman" w:hAnsi="Times New Roman" w:cs="Times New Roman"/>
          <w:sz w:val="32"/>
          <w:szCs w:val="21"/>
          <w:lang w:val="zh-CN"/>
        </w:rPr>
        <w:t>生态廊道，</w:t>
      </w:r>
      <w:r>
        <w:rPr>
          <w:rFonts w:hint="default" w:ascii="Times New Roman" w:hAnsi="Times New Roman" w:cs="Times New Roman"/>
          <w:sz w:val="32"/>
          <w:szCs w:val="21"/>
        </w:rPr>
        <w:t>促进</w:t>
      </w:r>
      <w:r>
        <w:rPr>
          <w:rFonts w:hint="default" w:ascii="Times New Roman" w:hAnsi="Times New Roman" w:cs="Times New Roman"/>
          <w:sz w:val="32"/>
          <w:szCs w:val="21"/>
          <w:lang w:val="zh-CN"/>
        </w:rPr>
        <w:t>水利与</w:t>
      </w:r>
      <w:r>
        <w:rPr>
          <w:rFonts w:hint="default" w:ascii="Times New Roman" w:hAnsi="Times New Roman" w:cs="Times New Roman"/>
          <w:sz w:val="32"/>
          <w:szCs w:val="21"/>
        </w:rPr>
        <w:t>文旅深度融合</w:t>
      </w:r>
      <w:r>
        <w:rPr>
          <w:rFonts w:hint="default" w:ascii="Times New Roman" w:hAnsi="Times New Roman" w:cs="Times New Roman"/>
          <w:sz w:val="32"/>
          <w:szCs w:val="21"/>
          <w:lang w:val="zh-CN"/>
        </w:rPr>
        <w:t>，维系水生态系统良性循环，保障河湖生态健康稳定。</w:t>
      </w:r>
    </w:p>
    <w:p w14:paraId="28A62AF7">
      <w:pPr>
        <w:pStyle w:val="5"/>
        <w:numPr>
          <w:ilvl w:val="2"/>
          <w:numId w:val="5"/>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加强河湖生态空间管控</w:t>
      </w:r>
    </w:p>
    <w:p w14:paraId="6F530854">
      <w:pPr>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严格河湖水域岸线空间管控。</w:t>
      </w:r>
      <w:r>
        <w:rPr>
          <w:rFonts w:hint="default" w:ascii="Times New Roman" w:hAnsi="Times New Roman" w:eastAsia="仿宋_GB2312" w:cs="Times New Roman"/>
          <w:sz w:val="32"/>
          <w:szCs w:val="32"/>
        </w:rPr>
        <w:t>已编制岸线保护与利用规划的河流岸线按照规划分区管控，严格落实《中华人民共和国长江保护法》《乐山市三江岸线保护条例》等要求，岸线保护区及保留区内原则上禁止建设除防洪安全、河势稳定、供水安全、生态保护及已建重要枢纽工程以外的项目；控制利用区内加强岸线利用项目建设管理，提升岸线的可持续利用；岸线开发利用区内的岸线开发利用，应符合依法批准的国土空间等相关规划，统筹协调各类涉水规划，兼顾已有涉水工程影响，提高岸线资源利用效率和综合效益。</w:t>
      </w:r>
    </w:p>
    <w:p w14:paraId="770F7FD3">
      <w:pPr>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加强水土保持空间管控。</w:t>
      </w:r>
      <w:r>
        <w:rPr>
          <w:rFonts w:hint="default" w:ascii="Times New Roman" w:hAnsi="Times New Roman" w:eastAsia="仿宋_GB2312" w:cs="Times New Roman"/>
          <w:sz w:val="32"/>
          <w:szCs w:val="32"/>
        </w:rPr>
        <w:t>全面开展以小流域为单元的水土保持重点区域的划定和成果运用，科学实施差别化的预防保护、综合治理和监督管理措施。加强对水源涵养区的保护与管理，着力提升大渡河江河源头区水源涵养能力。严格保护相关自然植被，限制或禁止无序采矿、毁林开荒等破坏行为。对于水土流失严重、生态脆弱区域，禁止或限制可能造成水土流失的生产建设活动，允许封育保护、林草种植、退田还林、生态移民等生态修复行为。建立水源涵养及水土保持空间管控制度，落实差别化保护治理措施。将水土保持生态功能重要区域和水土流失敏感脆弱区域纳入生态保护红线，实行严格管控，减少人类活动对自然生态空间的占用。</w:t>
      </w:r>
    </w:p>
    <w:p w14:paraId="273F5908">
      <w:pPr>
        <w:spacing w:after="0" w:line="600" w:lineRule="exact"/>
        <w:ind w:firstLine="660" w:firstLineChars="200"/>
        <w:rPr>
          <w:rFonts w:hint="default" w:ascii="Times New Roman" w:hAnsi="Times New Roman" w:eastAsia="仿宋_GB2312" w:cs="Times New Roman"/>
          <w:spacing w:val="5"/>
          <w:sz w:val="32"/>
          <w:szCs w:val="32"/>
        </w:rPr>
      </w:pPr>
      <w:r>
        <w:rPr>
          <w:rFonts w:hint="default" w:ascii="Times New Roman" w:hAnsi="Times New Roman" w:eastAsia="楷体_GB2312" w:cs="Times New Roman"/>
          <w:spacing w:val="5"/>
          <w:sz w:val="32"/>
          <w:szCs w:val="32"/>
        </w:rPr>
        <w:t>加强饮用水水源保护区管控。</w:t>
      </w:r>
      <w:r>
        <w:rPr>
          <w:rFonts w:hint="default" w:ascii="Times New Roman" w:hAnsi="Times New Roman" w:eastAsia="仿宋_GB2312" w:cs="Times New Roman"/>
          <w:spacing w:val="5"/>
          <w:sz w:val="32"/>
          <w:szCs w:val="32"/>
        </w:rPr>
        <w:t>推进县级以上集中式饮用水水源地安全达标建设，开展专项整治，加强保护区内污染源治理。禁止饮用水水源保护区内设置排污口以及新建或改扩建排污项目，加强城市集中式饮用水水源地保护，提升水质监测预警能力，定期开展监测和环境调查评估并向社会公开水质状况。</w:t>
      </w:r>
    </w:p>
    <w:p w14:paraId="37BDC5B6">
      <w:pPr>
        <w:pStyle w:val="5"/>
        <w:numPr>
          <w:ilvl w:val="2"/>
          <w:numId w:val="5"/>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加快推进水土流失综合防治</w:t>
      </w:r>
    </w:p>
    <w:p w14:paraId="37AB36E2">
      <w:pPr>
        <w:spacing w:after="0" w:line="600" w:lineRule="exact"/>
        <w:ind w:firstLine="681" w:firstLineChars="213"/>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全面推进小流域综合治理提质增效。</w:t>
      </w:r>
      <w:r>
        <w:rPr>
          <w:rFonts w:hint="default" w:ascii="Times New Roman" w:hAnsi="Times New Roman" w:eastAsia="仿宋_GB2312" w:cs="Times New Roman"/>
          <w:sz w:val="32"/>
          <w:szCs w:val="32"/>
        </w:rPr>
        <w:t>重点推进管山河小流域综合治理提质增效项目。城镇周边区域小流域以治河疏水、治污洁水为主，打造河畅景美、生态宜居小流域；农村地区小流域结合乡村振兴，以治山保水、以水兴业为主，建设生态经济小流域。实施“小流域+”模式，因地制宜打造水源保护型、生态旅游型、绿色产业型、和谐宜居型、休闲康养型等特色小流域产业综合体。</w:t>
      </w:r>
    </w:p>
    <w:p w14:paraId="24063228">
      <w:pPr>
        <w:keepNext/>
        <w:keepLines/>
        <w:numPr>
          <w:ilvl w:val="2"/>
          <w:numId w:val="2"/>
        </w:numPr>
        <w:spacing w:after="0" w:line="600" w:lineRule="exact"/>
        <w:ind w:left="107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加强重点河湖生态流量保障</w:t>
      </w:r>
    </w:p>
    <w:p w14:paraId="48965EAA">
      <w:pPr>
        <w:spacing w:after="0" w:line="600" w:lineRule="exact"/>
        <w:ind w:firstLine="640" w:firstLineChars="200"/>
        <w:rPr>
          <w:rFonts w:hint="default" w:ascii="Times New Roman" w:hAnsi="Times New Roman" w:eastAsia="仿宋_GB2312" w:cs="Times New Roman"/>
          <w:sz w:val="32"/>
          <w:szCs w:val="32"/>
        </w:rPr>
      </w:pPr>
      <w:r>
        <w:rPr>
          <w:rFonts w:hint="eastAsia" w:eastAsia="仿宋_GB2312" w:cs="Times New Roman"/>
          <w:sz w:val="32"/>
          <w:szCs w:val="32"/>
          <w:lang w:val="en-US" w:eastAsia="zh-CN"/>
        </w:rPr>
        <w:t>加强大渡河和沫溪河生态流量监控</w:t>
      </w:r>
      <w:r>
        <w:rPr>
          <w:rFonts w:hint="default" w:ascii="Times New Roman" w:hAnsi="Times New Roman" w:eastAsia="仿宋_GB2312" w:cs="Times New Roman"/>
          <w:sz w:val="32"/>
          <w:szCs w:val="32"/>
        </w:rPr>
        <w:t>，逐步退还被挤占的河湖生态水量，保障重点河湖生态流量。将生态流量调度纳入流域水量调度方案和水工程日常运行调度规程，建立常规生态流量调度机制。对已确定生态流量下泄要求的水工程，严格执行生态流量下泄要求，完善生态流量监测设施，加强生态调度和河道外用水管控；对未确定生态流量目标的水利水电工程，结合河流水资源条件、主要生态保护对象及用水需求，制定生态流量下泄目标和实施方案。</w:t>
      </w:r>
    </w:p>
    <w:p w14:paraId="23F4397F">
      <w:pPr>
        <w:keepNext/>
        <w:keepLines/>
        <w:numPr>
          <w:ilvl w:val="2"/>
          <w:numId w:val="2"/>
        </w:numPr>
        <w:spacing w:after="0" w:line="600" w:lineRule="exact"/>
        <w:ind w:left="107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推进重要河库生态廊道建设</w:t>
      </w:r>
    </w:p>
    <w:p w14:paraId="6AC78DDC">
      <w:pPr>
        <w:spacing w:after="0" w:line="600" w:lineRule="exact"/>
        <w:ind w:firstLine="640" w:firstLineChars="200"/>
        <w:rPr>
          <w:rFonts w:hint="default" w:ascii="Times New Roman" w:hAnsi="Times New Roman" w:eastAsia="仿宋_GB2312" w:cs="Times New Roman"/>
          <w:sz w:val="32"/>
          <w:szCs w:val="32"/>
        </w:rPr>
      </w:pPr>
      <w:r>
        <w:rPr>
          <w:rFonts w:hint="eastAsia" w:eastAsia="楷体_GB2312" w:cs="Times New Roman"/>
          <w:sz w:val="32"/>
          <w:szCs w:val="32"/>
          <w:lang w:eastAsia="zh-CN"/>
        </w:rPr>
        <w:t>“</w:t>
      </w:r>
      <w:r>
        <w:rPr>
          <w:rFonts w:hint="eastAsia" w:eastAsia="楷体_GB2312" w:cs="Times New Roman"/>
          <w:sz w:val="32"/>
          <w:szCs w:val="32"/>
          <w:lang w:val="en-US" w:eastAsia="zh-CN"/>
        </w:rPr>
        <w:t>一江</w:t>
      </w:r>
      <w:r>
        <w:rPr>
          <w:rFonts w:hint="eastAsia" w:eastAsia="楷体_GB2312" w:cs="Times New Roman"/>
          <w:sz w:val="32"/>
          <w:szCs w:val="32"/>
          <w:lang w:eastAsia="zh-CN"/>
        </w:rPr>
        <w:t>”</w:t>
      </w:r>
      <w:r>
        <w:rPr>
          <w:rFonts w:hint="default" w:ascii="Times New Roman" w:hAnsi="Times New Roman" w:eastAsia="楷体_GB2312" w:cs="Times New Roman"/>
          <w:sz w:val="32"/>
          <w:szCs w:val="32"/>
        </w:rPr>
        <w:t>生态廊道。</w:t>
      </w:r>
      <w:r>
        <w:rPr>
          <w:rFonts w:hint="default" w:ascii="Times New Roman" w:hAnsi="Times New Roman" w:eastAsia="仿宋_GB2312" w:cs="Times New Roman"/>
          <w:sz w:val="32"/>
          <w:szCs w:val="32"/>
        </w:rPr>
        <w:t>推进大渡河沙湾段岸线生态修复，加强沿线城镇污水治理、岸线违法清理和河道综合整治，提升城区</w:t>
      </w:r>
      <w:r>
        <w:rPr>
          <w:rFonts w:hint="default" w:ascii="Times New Roman" w:hAnsi="Times New Roman" w:eastAsia="仿宋_GB2312" w:cs="Times New Roman"/>
          <w:spacing w:val="5"/>
          <w:sz w:val="32"/>
          <w:szCs w:val="32"/>
        </w:rPr>
        <w:t>水质。结合防洪、生态补水等工程，将</w:t>
      </w:r>
      <w:r>
        <w:rPr>
          <w:rFonts w:hint="eastAsia" w:eastAsia="仿宋_GB2312" w:cs="Times New Roman"/>
          <w:spacing w:val="5"/>
          <w:sz w:val="32"/>
          <w:szCs w:val="32"/>
          <w:lang w:val="en-US" w:eastAsia="zh-CN"/>
        </w:rPr>
        <w:t>大渡河</w:t>
      </w:r>
      <w:r>
        <w:rPr>
          <w:rFonts w:hint="default" w:ascii="Times New Roman" w:hAnsi="Times New Roman" w:eastAsia="仿宋_GB2312" w:cs="Times New Roman"/>
          <w:spacing w:val="5"/>
          <w:sz w:val="32"/>
          <w:szCs w:val="32"/>
        </w:rPr>
        <w:t>干流打造成集防洪、生态、景观于一体的生态廊道，保障重点河段“河畅、水清、岸绿、景美”，提升沫若文化名城</w:t>
      </w:r>
      <w:r>
        <w:rPr>
          <w:rFonts w:hint="eastAsia" w:eastAsia="仿宋_GB2312" w:cs="Times New Roman"/>
          <w:spacing w:val="5"/>
          <w:sz w:val="32"/>
          <w:szCs w:val="32"/>
          <w:lang w:val="en-US" w:eastAsia="zh-CN"/>
        </w:rPr>
        <w:t>的</w:t>
      </w:r>
      <w:r>
        <w:rPr>
          <w:rFonts w:hint="default" w:ascii="Times New Roman" w:hAnsi="Times New Roman" w:eastAsia="仿宋_GB2312" w:cs="Times New Roman"/>
          <w:spacing w:val="5"/>
          <w:sz w:val="32"/>
          <w:szCs w:val="32"/>
        </w:rPr>
        <w:t>品质。</w:t>
      </w:r>
    </w:p>
    <w:p w14:paraId="62FA591F">
      <w:pPr>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w:t>
      </w:r>
      <w:r>
        <w:rPr>
          <w:rFonts w:hint="eastAsia" w:eastAsia="楷体_GB2312" w:cs="Times New Roman"/>
          <w:sz w:val="32"/>
          <w:szCs w:val="32"/>
          <w:lang w:val="en-US" w:eastAsia="zh-CN"/>
        </w:rPr>
        <w:t>一</w:t>
      </w:r>
      <w:r>
        <w:rPr>
          <w:rFonts w:hint="default" w:ascii="Times New Roman" w:hAnsi="Times New Roman" w:eastAsia="楷体_GB2312" w:cs="Times New Roman"/>
          <w:sz w:val="32"/>
          <w:szCs w:val="32"/>
        </w:rPr>
        <w:t>河”生态廊道。</w:t>
      </w:r>
      <w:r>
        <w:rPr>
          <w:rFonts w:hint="default" w:ascii="Times New Roman" w:hAnsi="Times New Roman" w:eastAsia="仿宋_GB2312" w:cs="Times New Roman"/>
          <w:sz w:val="32"/>
          <w:szCs w:val="32"/>
        </w:rPr>
        <w:t>推进</w:t>
      </w:r>
      <w:r>
        <w:rPr>
          <w:rFonts w:hint="eastAsia" w:eastAsia="仿宋_GB2312" w:cs="Times New Roman"/>
          <w:sz w:val="32"/>
          <w:szCs w:val="32"/>
          <w:lang w:val="en-US" w:eastAsia="zh-CN"/>
        </w:rPr>
        <w:t>沫溪河流域水生态综合治理与农文旅融合示范项目等工程前期论证，</w:t>
      </w:r>
      <w:r>
        <w:rPr>
          <w:rFonts w:hint="default" w:ascii="Times New Roman" w:hAnsi="Times New Roman" w:eastAsia="仿宋_GB2312" w:cs="Times New Roman"/>
          <w:sz w:val="32"/>
          <w:szCs w:val="32"/>
        </w:rPr>
        <w:t>采取水环境治理、岸线综合整治、水系连通等综合措施，改善提升</w:t>
      </w:r>
      <w:r>
        <w:rPr>
          <w:rFonts w:hint="eastAsia" w:eastAsia="仿宋_GB2312" w:cs="Times New Roman"/>
          <w:sz w:val="32"/>
          <w:szCs w:val="32"/>
          <w:lang w:val="en-US" w:eastAsia="zh-CN"/>
        </w:rPr>
        <w:t>沫溪河</w:t>
      </w:r>
      <w:r>
        <w:rPr>
          <w:rFonts w:hint="default" w:ascii="Times New Roman" w:hAnsi="Times New Roman" w:eastAsia="仿宋_GB2312" w:cs="Times New Roman"/>
          <w:sz w:val="32"/>
          <w:szCs w:val="32"/>
        </w:rPr>
        <w:t>水质，打造高品质骨干生态廊道。</w:t>
      </w:r>
    </w:p>
    <w:p w14:paraId="77C9FB28">
      <w:pPr>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幸福河湖建设。</w:t>
      </w:r>
      <w:r>
        <w:rPr>
          <w:rFonts w:hint="default" w:ascii="Times New Roman" w:hAnsi="Times New Roman" w:eastAsia="仿宋_GB2312" w:cs="Times New Roman"/>
          <w:sz w:val="32"/>
          <w:szCs w:val="32"/>
        </w:rPr>
        <w:t>按照四川省总河长令第 4 号《关于开展幸福河湖建设的令》及《四川省幸福河湖建设实施方案（2025-2030 年）》等要求，系统化全域推进幸福河湖示范建设。有序建成大渡河、</w:t>
      </w:r>
      <w:r>
        <w:rPr>
          <w:rFonts w:hint="eastAsia" w:eastAsia="仿宋_GB2312" w:cs="Times New Roman"/>
          <w:sz w:val="32"/>
          <w:szCs w:val="32"/>
          <w:lang w:val="en-US" w:eastAsia="zh-CN"/>
        </w:rPr>
        <w:t>沫溪河</w:t>
      </w:r>
      <w:r>
        <w:rPr>
          <w:rFonts w:hint="default" w:ascii="Times New Roman" w:hAnsi="Times New Roman" w:eastAsia="仿宋_GB2312" w:cs="Times New Roman"/>
          <w:sz w:val="32"/>
          <w:szCs w:val="32"/>
        </w:rPr>
        <w:t>2条（段）幸福河湖。</w:t>
      </w:r>
    </w:p>
    <w:p w14:paraId="05E56CFA">
      <w:pPr>
        <w:keepNext/>
        <w:keepLines/>
        <w:numPr>
          <w:ilvl w:val="2"/>
          <w:numId w:val="2"/>
        </w:numPr>
        <w:spacing w:after="0" w:line="600" w:lineRule="exact"/>
        <w:ind w:left="107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促进水文旅融合共生</w:t>
      </w:r>
    </w:p>
    <w:p w14:paraId="10A00685">
      <w:pPr>
        <w:spacing w:after="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拓展亲水空间，丰富文旅业态。</w:t>
      </w:r>
      <w:r>
        <w:rPr>
          <w:rFonts w:hint="default" w:ascii="Times New Roman" w:hAnsi="Times New Roman" w:eastAsia="仿宋_GB2312" w:cs="Times New Roman"/>
          <w:sz w:val="32"/>
          <w:szCs w:val="32"/>
        </w:rPr>
        <w:t>推动水利工程与水景观深度融合，城区河段打造滨水景观带，创造亲水空间，农村河段依托水美</w:t>
      </w:r>
      <w:r>
        <w:rPr>
          <w:rFonts w:hint="eastAsia" w:eastAsia="仿宋_GB2312" w:cs="Times New Roman"/>
          <w:sz w:val="32"/>
          <w:szCs w:val="32"/>
          <w:lang w:val="en-US" w:eastAsia="zh-CN"/>
        </w:rPr>
        <w:t>新</w:t>
      </w:r>
      <w:r>
        <w:rPr>
          <w:rFonts w:hint="default" w:ascii="Times New Roman" w:hAnsi="Times New Roman" w:eastAsia="仿宋_GB2312" w:cs="Times New Roman"/>
          <w:sz w:val="32"/>
          <w:szCs w:val="32"/>
        </w:rPr>
        <w:t>村建设发展创意水文化旅游。充分挖掘重要河库的水文化、水经济价值，积极引入社会资本设立河道清洁维护专项基金，通过特许经营、绩效考核奖励等方式获取收益，推动打造文旅综合体，实现区域发展与河道长效管护双赢。</w:t>
      </w:r>
    </w:p>
    <w:tbl>
      <w:tblPr>
        <w:tblStyle w:val="26"/>
        <w:tblW w:w="5000" w:type="pct"/>
        <w:tblInd w:w="0" w:type="dxa"/>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Layout w:type="autofit"/>
        <w:tblCellMar>
          <w:top w:w="0" w:type="dxa"/>
          <w:left w:w="108" w:type="dxa"/>
          <w:bottom w:w="0" w:type="dxa"/>
          <w:right w:w="108" w:type="dxa"/>
        </w:tblCellMar>
      </w:tblPr>
      <w:tblGrid>
        <w:gridCol w:w="9286"/>
      </w:tblGrid>
      <w:tr w14:paraId="408EEC24">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0" w:type="dxa"/>
            <w:left w:w="108" w:type="dxa"/>
            <w:bottom w:w="0" w:type="dxa"/>
            <w:right w:w="108" w:type="dxa"/>
          </w:tblCellMar>
        </w:tblPrEx>
        <w:tc>
          <w:tcPr>
            <w:tcW w:w="5000" w:type="pct"/>
            <w:tcBorders>
              <w:tl2br w:val="nil"/>
              <w:tr2bl w:val="nil"/>
            </w:tcBorders>
          </w:tcPr>
          <w:p w14:paraId="43E9A352">
            <w:pPr>
              <w:pStyle w:val="33"/>
              <w:spacing w:after="0" w:line="560" w:lineRule="exact"/>
              <w:ind w:firstLine="0" w:firstLineChars="0"/>
              <w:jc w:val="center"/>
              <w:rPr>
                <w:rFonts w:hint="default" w:ascii="Times New Roman" w:hAnsi="Times New Roman" w:eastAsia="黑体" w:cs="Times New Roman"/>
                <w:sz w:val="32"/>
                <w:szCs w:val="32"/>
              </w:rPr>
            </w:pPr>
            <w:bookmarkStart w:id="250" w:name="_Toc284581156"/>
            <w:bookmarkStart w:id="251" w:name="_Toc28544"/>
            <w:bookmarkStart w:id="252" w:name="_Toc408388850"/>
            <w:bookmarkStart w:id="253" w:name="_Toc408389113"/>
            <w:bookmarkStart w:id="254" w:name="_Toc408172574"/>
            <w:bookmarkStart w:id="255" w:name="_Toc408388627"/>
            <w:r>
              <w:rPr>
                <w:rFonts w:hint="default" w:ascii="Times New Roman" w:hAnsi="Times New Roman" w:eastAsia="黑体" w:cs="Times New Roman"/>
                <w:sz w:val="32"/>
                <w:szCs w:val="32"/>
              </w:rPr>
              <w:t>专栏3</w:t>
            </w:r>
            <w:r>
              <w:rPr>
                <w:rFonts w:hint="default" w:ascii="Times New Roman" w:hAnsi="Times New Roman" w:cs="Times New Roman"/>
                <w:sz w:val="32"/>
                <w:szCs w:val="32"/>
              </w:rPr>
              <w:t xml:space="preserve">  </w:t>
            </w:r>
            <w:r>
              <w:rPr>
                <w:rFonts w:hint="default" w:ascii="Times New Roman" w:hAnsi="Times New Roman" w:eastAsia="黑体" w:cs="Times New Roman"/>
                <w:sz w:val="32"/>
                <w:szCs w:val="32"/>
              </w:rPr>
              <w:t xml:space="preserve"> 水生态保护修复和水环境治理工程</w:t>
            </w:r>
          </w:p>
        </w:tc>
      </w:tr>
      <w:tr w14:paraId="1886E76A">
        <w:tblPrEx>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top w:w="0" w:type="dxa"/>
            <w:left w:w="108" w:type="dxa"/>
            <w:bottom w:w="0" w:type="dxa"/>
            <w:right w:w="108" w:type="dxa"/>
          </w:tblCellMar>
        </w:tblPrEx>
        <w:tc>
          <w:tcPr>
            <w:tcW w:w="5000" w:type="pct"/>
            <w:tcBorders>
              <w:tl2br w:val="nil"/>
              <w:tr2bl w:val="nil"/>
            </w:tcBorders>
          </w:tcPr>
          <w:p w14:paraId="7DCC69E2">
            <w:pPr>
              <w:pStyle w:val="33"/>
              <w:spacing w:after="0" w:line="276" w:lineRule="auto"/>
              <w:ind w:firstLine="562"/>
              <w:rPr>
                <w:rFonts w:hint="default" w:ascii="Times New Roman" w:hAnsi="Times New Roman" w:eastAsia="楷体_GB2312" w:cs="Times New Roman"/>
              </w:rPr>
            </w:pPr>
            <w:r>
              <w:rPr>
                <w:rFonts w:hint="default" w:ascii="Times New Roman" w:hAnsi="Times New Roman" w:eastAsia="楷体_GB2312" w:cs="Times New Roman"/>
                <w:b/>
                <w:bCs/>
              </w:rPr>
              <w:t>推进重要河库生态廊道建设。</w:t>
            </w:r>
            <w:r>
              <w:rPr>
                <w:rFonts w:hint="eastAsia" w:eastAsia="楷体_GB2312" w:cs="Times New Roman"/>
                <w:lang w:val="en-US" w:eastAsia="zh-CN"/>
              </w:rPr>
              <w:t>积极推进</w:t>
            </w:r>
            <w:r>
              <w:rPr>
                <w:rFonts w:hint="default" w:ascii="Times New Roman" w:hAnsi="Times New Roman" w:eastAsia="楷体_GB2312" w:cs="Times New Roman"/>
              </w:rPr>
              <w:t>大渡河乐山市沙湾区流域水生态保护与修复工程、沫溪河（沙湾区段）幸福河湖建设项目、大渡河（沙湾区段）幸福河湖建设项目、沫溪河流域水生态综合治理与农文旅融合示范项目等项目</w:t>
            </w:r>
            <w:r>
              <w:rPr>
                <w:rFonts w:hint="eastAsia" w:eastAsia="楷体_GB2312" w:cs="Times New Roman"/>
                <w:lang w:val="en-US" w:eastAsia="zh-CN"/>
              </w:rPr>
              <w:t>前期论证</w:t>
            </w:r>
            <w:r>
              <w:rPr>
                <w:rFonts w:hint="default" w:ascii="Times New Roman" w:hAnsi="Times New Roman" w:eastAsia="楷体_GB2312" w:cs="Times New Roman"/>
              </w:rPr>
              <w:t>。</w:t>
            </w:r>
          </w:p>
          <w:p w14:paraId="7450B4F3">
            <w:pPr>
              <w:pStyle w:val="33"/>
              <w:spacing w:after="0" w:line="276" w:lineRule="auto"/>
              <w:ind w:firstLine="562"/>
              <w:rPr>
                <w:rFonts w:hint="default" w:ascii="Times New Roman" w:hAnsi="Times New Roman" w:eastAsia="楷体_GB2312" w:cs="Times New Roman"/>
              </w:rPr>
            </w:pPr>
            <w:r>
              <w:rPr>
                <w:rFonts w:hint="default" w:ascii="Times New Roman" w:hAnsi="Times New Roman" w:eastAsia="楷体_GB2312" w:cs="Times New Roman"/>
                <w:b/>
                <w:bCs/>
              </w:rPr>
              <w:t>加快推进水土流失综合防治。</w:t>
            </w:r>
            <w:r>
              <w:rPr>
                <w:rFonts w:hint="default" w:ascii="Times New Roman" w:hAnsi="Times New Roman" w:eastAsia="楷体_GB2312" w:cs="Times New Roman"/>
              </w:rPr>
              <w:t>积极推进管山河小流域综合治理提质增效项目、沙湾区坡耕地水土流失综合治理项目。</w:t>
            </w:r>
          </w:p>
          <w:p w14:paraId="4CE9466C">
            <w:pPr>
              <w:pStyle w:val="33"/>
              <w:spacing w:after="0" w:line="276" w:lineRule="auto"/>
              <w:ind w:firstLine="562"/>
              <w:rPr>
                <w:rFonts w:hint="default" w:ascii="Times New Roman" w:hAnsi="Times New Roman" w:eastAsia="楷体" w:cs="Times New Roman"/>
              </w:rPr>
            </w:pPr>
            <w:r>
              <w:rPr>
                <w:rFonts w:hint="default" w:ascii="Times New Roman" w:hAnsi="Times New Roman" w:eastAsia="楷体_GB2312" w:cs="Times New Roman"/>
                <w:b/>
                <w:bCs/>
              </w:rPr>
              <w:t>促进水文旅融合共生。</w:t>
            </w:r>
            <w:r>
              <w:rPr>
                <w:rFonts w:hint="default" w:ascii="Times New Roman" w:hAnsi="Times New Roman" w:eastAsia="楷体_GB2312" w:cs="Times New Roman"/>
              </w:rPr>
              <w:t>推进福禄镇美丽河湖项目建设。</w:t>
            </w:r>
          </w:p>
        </w:tc>
      </w:tr>
    </w:tbl>
    <w:p w14:paraId="4DC92310">
      <w:pPr>
        <w:pStyle w:val="3"/>
        <w:spacing w:line="620" w:lineRule="exact"/>
        <w:rPr>
          <w:rFonts w:hint="default" w:ascii="Times New Roman" w:hAnsi="Times New Roman" w:cs="Times New Roman"/>
          <w:sz w:val="32"/>
          <w:szCs w:val="32"/>
        </w:rPr>
      </w:pPr>
      <w:bookmarkStart w:id="256" w:name="_Toc9895"/>
      <w:bookmarkStart w:id="257" w:name="_Toc12213"/>
      <w:bookmarkStart w:id="258" w:name="_Toc5892"/>
      <w:bookmarkStart w:id="259" w:name="_Toc5124"/>
      <w:bookmarkStart w:id="260" w:name="_Toc19238"/>
      <w:bookmarkStart w:id="261" w:name="_Toc14984"/>
      <w:bookmarkStart w:id="262" w:name="_Toc26583"/>
      <w:bookmarkStart w:id="263" w:name="_Toc27311"/>
      <w:bookmarkStart w:id="264" w:name="_Toc8210"/>
      <w:bookmarkStart w:id="265" w:name="_Toc24070"/>
      <w:bookmarkStart w:id="266" w:name="_Toc10182"/>
      <w:r>
        <w:rPr>
          <w:rFonts w:hint="default" w:ascii="Times New Roman" w:hAnsi="Times New Roman" w:cs="Times New Roman"/>
          <w:sz w:val="32"/>
          <w:szCs w:val="32"/>
          <w:lang w:val="en-US"/>
        </w:rPr>
        <w:t>构建</w:t>
      </w:r>
      <w:r>
        <w:rPr>
          <w:rFonts w:hint="default" w:ascii="Times New Roman" w:hAnsi="Times New Roman" w:cs="Times New Roman"/>
          <w:sz w:val="32"/>
          <w:szCs w:val="32"/>
        </w:rPr>
        <w:t>数智赋能</w:t>
      </w:r>
      <w:r>
        <w:rPr>
          <w:rFonts w:hint="default" w:ascii="Times New Roman" w:hAnsi="Times New Roman" w:cs="Times New Roman"/>
          <w:sz w:val="32"/>
          <w:szCs w:val="32"/>
          <w:lang w:val="en-US"/>
        </w:rPr>
        <w:t>的</w:t>
      </w:r>
      <w:r>
        <w:rPr>
          <w:rFonts w:hint="default" w:ascii="Times New Roman" w:hAnsi="Times New Roman" w:cs="Times New Roman"/>
          <w:sz w:val="32"/>
          <w:szCs w:val="32"/>
        </w:rPr>
        <w:t>数字孪生水利体系</w:t>
      </w:r>
      <w:bookmarkEnd w:id="256"/>
      <w:bookmarkEnd w:id="257"/>
      <w:bookmarkEnd w:id="258"/>
      <w:bookmarkEnd w:id="259"/>
      <w:bookmarkEnd w:id="260"/>
      <w:bookmarkEnd w:id="261"/>
      <w:bookmarkEnd w:id="262"/>
      <w:bookmarkEnd w:id="263"/>
      <w:bookmarkEnd w:id="264"/>
      <w:bookmarkEnd w:id="265"/>
      <w:bookmarkEnd w:id="266"/>
    </w:p>
    <w:p w14:paraId="66A8F5D8">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坚持“需求牵引、应用至上、数智赋能、提升能力”总体要求，统筹构建</w:t>
      </w:r>
      <w:r>
        <w:rPr>
          <w:rFonts w:hint="eastAsia" w:eastAsia="仿宋_GB2312" w:cs="Times New Roman"/>
          <w:sz w:val="32"/>
          <w:szCs w:val="32"/>
          <w:shd w:val="clear" w:color="auto" w:fill="FFFFFF"/>
          <w:lang w:val="en-US" w:eastAsia="zh-CN"/>
        </w:rPr>
        <w:t>沙湾区</w:t>
      </w:r>
      <w:r>
        <w:rPr>
          <w:rFonts w:hint="default" w:ascii="Times New Roman" w:hAnsi="Times New Roman" w:eastAsia="仿宋_GB2312" w:cs="Times New Roman"/>
          <w:sz w:val="32"/>
          <w:szCs w:val="32"/>
          <w:shd w:val="clear" w:color="auto" w:fill="FFFFFF"/>
        </w:rPr>
        <w:t>数字孪生水利体系。依托省级数字孪生水利平台资源，加快完善“天空地水工”一体化监测感知网络，夯实市级水利数据底板建设，深化省级平台在重点流域、骨干水利工程的实例化应用，全面幅提升“2+N”水利业务智能化应用支撑能力。</w:t>
      </w:r>
    </w:p>
    <w:p w14:paraId="606C0303">
      <w:pPr>
        <w:pStyle w:val="5"/>
        <w:numPr>
          <w:ilvl w:val="2"/>
          <w:numId w:val="6"/>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加快构建“天空地水工”一体化监测感知系统</w:t>
      </w:r>
    </w:p>
    <w:p w14:paraId="5A934DA3">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围绕大渡河干流及</w:t>
      </w:r>
      <w:r>
        <w:rPr>
          <w:rFonts w:hint="eastAsia" w:eastAsia="仿宋_GB2312" w:cs="Times New Roman"/>
          <w:sz w:val="32"/>
          <w:szCs w:val="32"/>
          <w:shd w:val="clear" w:color="auto" w:fill="FFFFFF"/>
          <w:lang w:val="en-US" w:eastAsia="zh-CN"/>
        </w:rPr>
        <w:t>沫</w:t>
      </w:r>
      <w:r>
        <w:rPr>
          <w:rFonts w:hint="default" w:ascii="Times New Roman" w:hAnsi="Times New Roman" w:eastAsia="仿宋_GB2312" w:cs="Times New Roman"/>
          <w:sz w:val="32"/>
          <w:szCs w:val="32"/>
          <w:shd w:val="clear" w:color="auto" w:fill="FFFFFF"/>
        </w:rPr>
        <w:t>溪河以及山洪沟，聚焦河东片区引调水工程、河西片区水资源配置工程等骨干输水通道及小型水库、城乡一体化供水、防洪排涝、水生态保护修复等重点水利工程，加快构建由卫星遥感、测雨雷达、无人机、地面监测站等组成的</w:t>
      </w:r>
      <w:r>
        <w:rPr>
          <w:rFonts w:hint="eastAsia" w:eastAsia="仿宋_GB2312" w:cs="Times New Roman"/>
          <w:sz w:val="32"/>
          <w:szCs w:val="32"/>
          <w:shd w:val="clear" w:color="auto" w:fill="FFFFFF"/>
          <w:lang w:val="en-US" w:eastAsia="zh-CN"/>
        </w:rPr>
        <w:t>沙湾区</w:t>
      </w:r>
      <w:r>
        <w:rPr>
          <w:rFonts w:hint="default" w:ascii="Times New Roman" w:hAnsi="Times New Roman" w:eastAsia="仿宋_GB2312" w:cs="Times New Roman"/>
          <w:sz w:val="32"/>
          <w:szCs w:val="32"/>
          <w:shd w:val="clear" w:color="auto" w:fill="FFFFFF"/>
        </w:rPr>
        <w:t>“天空地水工”一体化监测感知系统。</w:t>
      </w:r>
    </w:p>
    <w:p w14:paraId="510EE537">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运用先进监测技术，实现水利对象和治理管理过程全覆盖、全空间、全要素、全天候监测感知，提升水旱灾害防御、水资源管理调配、河湖生态治理等业务监测能力，为</w:t>
      </w:r>
      <w:r>
        <w:rPr>
          <w:rFonts w:hint="eastAsia" w:eastAsia="仿宋_GB2312" w:cs="Times New Roman"/>
          <w:sz w:val="32"/>
          <w:szCs w:val="32"/>
          <w:shd w:val="clear" w:color="auto" w:fill="FFFFFF"/>
          <w:lang w:val="en-US" w:eastAsia="zh-CN"/>
        </w:rPr>
        <w:t>沙湾区</w:t>
      </w:r>
      <w:r>
        <w:rPr>
          <w:rFonts w:hint="default" w:ascii="Times New Roman" w:hAnsi="Times New Roman" w:eastAsia="仿宋_GB2312" w:cs="Times New Roman"/>
          <w:sz w:val="32"/>
          <w:szCs w:val="32"/>
          <w:shd w:val="clear" w:color="auto" w:fill="FFFFFF"/>
        </w:rPr>
        <w:t>数字孪生水利体系“四预”功能提供全面、连续、准确的“算据”支撑。</w:t>
      </w:r>
    </w:p>
    <w:p w14:paraId="19790911">
      <w:pPr>
        <w:pStyle w:val="5"/>
        <w:spacing w:after="0" w:line="620" w:lineRule="exact"/>
        <w:rPr>
          <w:rFonts w:hint="default" w:ascii="Times New Roman" w:hAnsi="Times New Roman" w:cs="Times New Roman"/>
          <w:sz w:val="32"/>
          <w:szCs w:val="32"/>
        </w:rPr>
      </w:pPr>
      <w:r>
        <w:rPr>
          <w:rFonts w:hint="default" w:ascii="Times New Roman" w:hAnsi="Times New Roman" w:cs="Times New Roman"/>
          <w:sz w:val="32"/>
          <w:szCs w:val="32"/>
        </w:rPr>
        <w:t>夯实信息化基础设施</w:t>
      </w:r>
    </w:p>
    <w:p w14:paraId="06CE08DA">
      <w:pPr>
        <w:widowControl/>
        <w:spacing w:after="0" w:line="62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依托乐山市政务云现有算力、存储、数据库等资源，在已有硬件、数据库、云计算等基础设施基础上，结合数字孪生水利建设需求，补充基础通用算力，进一步强化智算与超算能力，扩展网络通信覆盖范围，提升数据传输能力，构建通算、智算、超算一体化的市级水利云平台，实现</w:t>
      </w:r>
      <w:r>
        <w:rPr>
          <w:rFonts w:hint="eastAsia" w:eastAsia="仿宋_GB2312" w:cs="Times New Roman"/>
          <w:sz w:val="32"/>
          <w:szCs w:val="32"/>
          <w:shd w:val="clear" w:color="auto" w:fill="FFFFFF"/>
          <w:lang w:val="en-US" w:eastAsia="zh-CN"/>
        </w:rPr>
        <w:t>区</w:t>
      </w:r>
      <w:r>
        <w:rPr>
          <w:rFonts w:hint="default" w:ascii="Times New Roman" w:hAnsi="Times New Roman" w:eastAsia="仿宋_GB2312" w:cs="Times New Roman"/>
          <w:sz w:val="32"/>
          <w:szCs w:val="32"/>
          <w:shd w:val="clear" w:color="auto" w:fill="FFFFFF"/>
        </w:rPr>
        <w:t>县两级水行政主管部门及各水利工程管理单位水利通信网络全面互联互通。</w:t>
      </w:r>
    </w:p>
    <w:p w14:paraId="38B8842B">
      <w:pPr>
        <w:pStyle w:val="5"/>
        <w:spacing w:after="0" w:line="620" w:lineRule="exact"/>
        <w:rPr>
          <w:rFonts w:hint="default" w:ascii="Times New Roman" w:hAnsi="Times New Roman" w:cs="Times New Roman"/>
          <w:sz w:val="32"/>
          <w:szCs w:val="32"/>
        </w:rPr>
      </w:pPr>
      <w:r>
        <w:rPr>
          <w:rFonts w:hint="default" w:ascii="Times New Roman" w:hAnsi="Times New Roman" w:cs="Times New Roman"/>
          <w:sz w:val="32"/>
          <w:szCs w:val="32"/>
        </w:rPr>
        <w:t>优化提升数字孪生平台</w:t>
      </w:r>
    </w:p>
    <w:p w14:paraId="5CA88E9A">
      <w:pPr>
        <w:widowControl/>
        <w:spacing w:after="0" w:line="62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依托省水利厅数字孪生平台成果，进一步完善</w:t>
      </w:r>
      <w:r>
        <w:rPr>
          <w:rFonts w:hint="eastAsia" w:eastAsia="仿宋_GB2312" w:cs="Times New Roman"/>
          <w:sz w:val="32"/>
          <w:szCs w:val="32"/>
          <w:shd w:val="clear" w:color="auto" w:fill="FFFFFF"/>
          <w:lang w:val="en-US" w:eastAsia="zh-CN"/>
        </w:rPr>
        <w:t>区</w:t>
      </w:r>
      <w:r>
        <w:rPr>
          <w:rFonts w:hint="default" w:ascii="Times New Roman" w:hAnsi="Times New Roman" w:eastAsia="仿宋_GB2312" w:cs="Times New Roman"/>
          <w:sz w:val="32"/>
          <w:szCs w:val="32"/>
          <w:shd w:val="clear" w:color="auto" w:fill="FFFFFF"/>
        </w:rPr>
        <w:t>级数据底板。完成全</w:t>
      </w:r>
      <w:r>
        <w:rPr>
          <w:rFonts w:hint="eastAsia" w:eastAsia="仿宋_GB2312" w:cs="Times New Roman"/>
          <w:sz w:val="32"/>
          <w:szCs w:val="32"/>
          <w:shd w:val="clear" w:color="auto" w:fill="FFFFFF"/>
          <w:lang w:val="en-US" w:eastAsia="zh-CN"/>
        </w:rPr>
        <w:t>区</w:t>
      </w:r>
      <w:r>
        <w:rPr>
          <w:rFonts w:hint="default" w:ascii="Times New Roman" w:hAnsi="Times New Roman" w:eastAsia="仿宋_GB2312" w:cs="Times New Roman"/>
          <w:sz w:val="32"/>
          <w:szCs w:val="32"/>
          <w:shd w:val="clear" w:color="auto" w:fill="FFFFFF"/>
        </w:rPr>
        <w:t>江河L2级数据底板、水利工程L3级数据底板建设，按需更新水旱灾害防御、水资源管理调配、农村水利、水土保持、城乡供水、河湖管理等各类相关数据资源，为智能应用提供高质量数据支撑。根据各业务应用场景需求，积极共享气象、生态环境、农业等跨行业数据，丰富市级水利数据资源。</w:t>
      </w:r>
    </w:p>
    <w:p w14:paraId="216D09F4">
      <w:pPr>
        <w:pStyle w:val="5"/>
        <w:spacing w:after="0" w:line="610" w:lineRule="exact"/>
        <w:rPr>
          <w:rFonts w:hint="default" w:ascii="Times New Roman" w:hAnsi="Times New Roman" w:cs="Times New Roman"/>
          <w:sz w:val="32"/>
          <w:szCs w:val="32"/>
        </w:rPr>
      </w:pPr>
      <w:r>
        <w:rPr>
          <w:rFonts w:hint="default" w:ascii="Times New Roman" w:hAnsi="Times New Roman" w:cs="Times New Roman"/>
          <w:sz w:val="32"/>
          <w:szCs w:val="32"/>
        </w:rPr>
        <w:t>拓展水利智能业务应用</w:t>
      </w:r>
    </w:p>
    <w:p w14:paraId="56B19D8B">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聚焦水利业务“四预”关键环节，打造“预报精准化、预警超前化、预演数字化、预案科学化”的“2+N”水利业务智能应用，实现有防洪任务主要江河防洪“四预”、水网骨干工程水资源调配“四预”，大幅提升N项业务智能应用水平。</w:t>
      </w:r>
    </w:p>
    <w:p w14:paraId="5926F0AE">
      <w:pPr>
        <w:pStyle w:val="5"/>
        <w:spacing w:after="0" w:line="610" w:lineRule="exact"/>
        <w:rPr>
          <w:rFonts w:hint="default" w:ascii="Times New Roman" w:hAnsi="Times New Roman" w:cs="Times New Roman"/>
          <w:sz w:val="32"/>
          <w:szCs w:val="32"/>
        </w:rPr>
      </w:pPr>
      <w:r>
        <w:rPr>
          <w:rFonts w:hint="default" w:ascii="Times New Roman" w:hAnsi="Times New Roman" w:cs="Times New Roman"/>
          <w:sz w:val="32"/>
          <w:szCs w:val="32"/>
        </w:rPr>
        <w:t>提升网络安全防护能力</w:t>
      </w:r>
    </w:p>
    <w:bookmarkEnd w:id="227"/>
    <w:bookmarkEnd w:id="250"/>
    <w:bookmarkEnd w:id="251"/>
    <w:p w14:paraId="507E034D">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依托乐山市政务云安全资源，在现有网络安全防护建设基础上，提升纵深防御、监测预警、应急响应等网络安全防护能力，重点保护水利关键信息基础设施。以水利数据分类分级为基础，强化安全管控和风险监测，同时定期对关键业务数据进行备份，实现重要数据备份与恢复，加强水利行业数据的保护与安全使用。水库、灌区、引调水工程等工程管理单位完善自身安全防护体系，加强重要数据保护。</w:t>
      </w:r>
    </w:p>
    <w:p w14:paraId="27F78749">
      <w:pPr>
        <w:pStyle w:val="3"/>
        <w:spacing w:line="600" w:lineRule="exact"/>
        <w:rPr>
          <w:rFonts w:hint="default" w:ascii="Times New Roman" w:hAnsi="Times New Roman" w:cs="Times New Roman"/>
          <w:sz w:val="32"/>
          <w:szCs w:val="32"/>
        </w:rPr>
      </w:pPr>
      <w:bookmarkStart w:id="267" w:name="_Toc26540"/>
      <w:bookmarkStart w:id="268" w:name="_Toc12880"/>
      <w:bookmarkStart w:id="269" w:name="_Toc17234"/>
      <w:bookmarkStart w:id="270" w:name="_Toc20618"/>
      <w:bookmarkStart w:id="271" w:name="_Toc25972"/>
      <w:bookmarkStart w:id="272" w:name="_Toc29653"/>
      <w:bookmarkStart w:id="273" w:name="_Toc23332"/>
      <w:bookmarkStart w:id="274" w:name="_Toc3309"/>
      <w:bookmarkStart w:id="275" w:name="_Toc22155"/>
      <w:bookmarkStart w:id="276" w:name="_Toc3678"/>
      <w:bookmarkStart w:id="277" w:name="_Toc14042"/>
      <w:r>
        <w:rPr>
          <w:rFonts w:hint="default" w:ascii="Times New Roman" w:hAnsi="Times New Roman" w:cs="Times New Roman"/>
          <w:sz w:val="32"/>
          <w:szCs w:val="32"/>
          <w:lang w:val="en-US"/>
        </w:rPr>
        <w:t>健全现代高效的</w:t>
      </w:r>
      <w:r>
        <w:rPr>
          <w:rFonts w:hint="default" w:ascii="Times New Roman" w:hAnsi="Times New Roman" w:cs="Times New Roman"/>
          <w:sz w:val="32"/>
          <w:szCs w:val="32"/>
        </w:rPr>
        <w:t>水利</w:t>
      </w:r>
      <w:r>
        <w:rPr>
          <w:rFonts w:hint="default" w:ascii="Times New Roman" w:hAnsi="Times New Roman" w:cs="Times New Roman"/>
          <w:sz w:val="32"/>
          <w:szCs w:val="32"/>
          <w:lang w:val="en-US"/>
        </w:rPr>
        <w:t>治理</w:t>
      </w:r>
      <w:r>
        <w:rPr>
          <w:rFonts w:hint="default" w:ascii="Times New Roman" w:hAnsi="Times New Roman" w:cs="Times New Roman"/>
          <w:sz w:val="32"/>
          <w:szCs w:val="32"/>
        </w:rPr>
        <w:t>管理</w:t>
      </w:r>
      <w:r>
        <w:rPr>
          <w:rFonts w:hint="default" w:ascii="Times New Roman" w:hAnsi="Times New Roman" w:cs="Times New Roman"/>
          <w:sz w:val="32"/>
          <w:szCs w:val="32"/>
          <w:lang w:val="en-US"/>
        </w:rPr>
        <w:t>体系</w:t>
      </w:r>
      <w:bookmarkEnd w:id="267"/>
      <w:bookmarkEnd w:id="268"/>
      <w:bookmarkEnd w:id="269"/>
      <w:bookmarkEnd w:id="270"/>
      <w:bookmarkEnd w:id="271"/>
      <w:bookmarkEnd w:id="272"/>
      <w:bookmarkEnd w:id="273"/>
      <w:bookmarkEnd w:id="274"/>
      <w:bookmarkEnd w:id="275"/>
      <w:bookmarkEnd w:id="276"/>
      <w:bookmarkEnd w:id="277"/>
    </w:p>
    <w:p w14:paraId="78A958F3">
      <w:pPr>
        <w:pStyle w:val="5"/>
        <w:numPr>
          <w:ilvl w:val="2"/>
          <w:numId w:val="7"/>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完善水治理体制机制法治</w:t>
      </w:r>
    </w:p>
    <w:p w14:paraId="02D2FC04">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深化河湖长制，压实各级河湖长主体责任，强化考核问责与正向激励，强化源头治理。完善水利工程全生命周期管理体系，规范项目前期论证、建设实施、项目后评价与运行维护，推进标准化、智慧化管理。</w:t>
      </w:r>
      <w:r>
        <w:rPr>
          <w:rFonts w:hint="eastAsia" w:eastAsia="仿宋_GB2312" w:cs="Times New Roman"/>
          <w:sz w:val="32"/>
          <w:szCs w:val="32"/>
          <w:shd w:val="clear" w:color="auto" w:fill="FFFFFF"/>
          <w:lang w:val="en-US" w:eastAsia="zh-CN"/>
        </w:rPr>
        <w:t>配合开展</w:t>
      </w:r>
      <w:r>
        <w:rPr>
          <w:rFonts w:hint="default" w:ascii="Times New Roman" w:hAnsi="Times New Roman" w:eastAsia="仿宋_GB2312" w:cs="Times New Roman"/>
          <w:sz w:val="32"/>
          <w:szCs w:val="32"/>
          <w:shd w:val="clear" w:color="auto" w:fill="FFFFFF"/>
        </w:rPr>
        <w:t>水行政执法，</w:t>
      </w:r>
      <w:r>
        <w:rPr>
          <w:rFonts w:hint="eastAsia" w:eastAsia="仿宋_GB2312" w:cs="Times New Roman"/>
          <w:sz w:val="32"/>
          <w:szCs w:val="32"/>
          <w:shd w:val="clear" w:color="auto" w:fill="FFFFFF"/>
          <w:lang w:val="en-US" w:eastAsia="zh-CN"/>
        </w:rPr>
        <w:t>参与</w:t>
      </w:r>
      <w:r>
        <w:rPr>
          <w:rFonts w:hint="default" w:ascii="Times New Roman" w:hAnsi="Times New Roman" w:eastAsia="仿宋_GB2312" w:cs="Times New Roman"/>
          <w:sz w:val="32"/>
          <w:szCs w:val="32"/>
          <w:shd w:val="clear" w:color="auto" w:fill="FFFFFF"/>
        </w:rPr>
        <w:t>水事纠纷预防调处机制，运用遥感监测、大数据等科技手段，</w:t>
      </w:r>
      <w:r>
        <w:rPr>
          <w:rFonts w:hint="eastAsia" w:eastAsia="仿宋_GB2312" w:cs="Times New Roman"/>
          <w:sz w:val="32"/>
          <w:szCs w:val="32"/>
          <w:shd w:val="clear" w:color="auto" w:fill="FFFFFF"/>
          <w:lang w:val="en-US" w:eastAsia="zh-CN"/>
        </w:rPr>
        <w:t>配合</w:t>
      </w:r>
      <w:r>
        <w:rPr>
          <w:rFonts w:hint="default" w:ascii="Times New Roman" w:hAnsi="Times New Roman" w:eastAsia="仿宋_GB2312" w:cs="Times New Roman"/>
          <w:sz w:val="32"/>
          <w:szCs w:val="32"/>
          <w:shd w:val="clear" w:color="auto" w:fill="FFFFFF"/>
        </w:rPr>
        <w:t>查处涉水违法行为，提升水治理法治化、规范化水平。</w:t>
      </w:r>
    </w:p>
    <w:p w14:paraId="6DC6F0F2">
      <w:pPr>
        <w:pStyle w:val="5"/>
        <w:numPr>
          <w:ilvl w:val="2"/>
          <w:numId w:val="7"/>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建立健全节水制度政策</w:t>
      </w:r>
    </w:p>
    <w:p w14:paraId="6F8FD8F3">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强化水资源刚性约束，全面落实国家节水行动，严格实行用水总量与用水强度双控制度，健全取用水管控指标体系。统筹推进农业、工业、城镇节水增效，持续深化工业节水改造，严控城镇供水管网漏损。健全完善差别化水价形成机制和节水激励政策，稳步推进用水权市场化交易，规范交易规则、完善交易平台建设。常态化开展节水标杆创建，强化节水宣传教育引导，加快构建全社会节水型生产生活方式。</w:t>
      </w:r>
    </w:p>
    <w:p w14:paraId="03904B8C">
      <w:pPr>
        <w:pStyle w:val="5"/>
        <w:numPr>
          <w:ilvl w:val="2"/>
          <w:numId w:val="7"/>
        </w:numPr>
        <w:spacing w:after="0" w:line="600" w:lineRule="exact"/>
        <w:rPr>
          <w:rFonts w:hint="default" w:ascii="Times New Roman" w:hAnsi="Times New Roman" w:cs="Times New Roman"/>
          <w:sz w:val="32"/>
          <w:shd w:val="clear" w:color="auto" w:fill="FFFFFF"/>
        </w:rPr>
      </w:pPr>
      <w:r>
        <w:rPr>
          <w:rFonts w:hint="default" w:ascii="Times New Roman" w:hAnsi="Times New Roman" w:cs="Times New Roman"/>
          <w:sz w:val="32"/>
          <w:szCs w:val="32"/>
        </w:rPr>
        <w:t>创新水利建设投融资机制</w:t>
      </w:r>
    </w:p>
    <w:p w14:paraId="2B07BFF6">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坚持政府与市场协同发力，争取国省资金支持，统筹衔接中央和省预算内投资、超长期特别国债等各类专项资金，引导社会资金、金融资本投入水利建设。鼓励金融机构优化水利信贷服务，发展绿色金融、洪水保险等产品。积极推进水利领域政府与社会资本合作，规范运用基础设施领域不动产投资信托基金（REITs）、专项债券等融资工具，吸引社会资本参与经营性、准公益性项目。健全社会资本参与机制与回报模式，建立风险共担、长期稳定的多元化投融资格局，健全项目资金保障机制，盘活水利领域资源资产，防范化解政府投资风险。</w:t>
      </w:r>
    </w:p>
    <w:p w14:paraId="27A3556A">
      <w:pPr>
        <w:pStyle w:val="5"/>
        <w:numPr>
          <w:ilvl w:val="2"/>
          <w:numId w:val="7"/>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健全水利科技创新体系</w:t>
      </w:r>
    </w:p>
    <w:p w14:paraId="36A46FEA">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完善水利技术标准体系，加快数字化、智能化标准制定，布局水利科技创新平台。聚焦水旱灾害防御、水资源集约利用、河湖生态修复、智慧水利等重点方向开展关键技术攻关，推进科技成果转化应用，建设示范推广基地。加强水利高层次人才培养，健全科技评价与激励政策，广泛开展水利科普宣传，加快市级水利技术保障与发展中心筹建。</w:t>
      </w:r>
    </w:p>
    <w:p w14:paraId="31ACAF29">
      <w:pPr>
        <w:pStyle w:val="5"/>
        <w:numPr>
          <w:ilvl w:val="2"/>
          <w:numId w:val="7"/>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建立健全风险防控机制</w:t>
      </w:r>
    </w:p>
    <w:p w14:paraId="3827D6D1">
      <w:pPr>
        <w:widowControl/>
        <w:spacing w:after="0" w:line="600" w:lineRule="exact"/>
        <w:ind w:firstLine="640" w:firstLineChars="200"/>
        <w:rPr>
          <w:rFonts w:hint="default" w:ascii="Times New Roman" w:hAnsi="Times New Roman" w:cs="Times New Roman"/>
          <w:sz w:val="32"/>
          <w:szCs w:val="32"/>
        </w:rPr>
      </w:pPr>
      <w:r>
        <w:rPr>
          <w:rFonts w:hint="default" w:ascii="Times New Roman" w:hAnsi="Times New Roman" w:eastAsia="仿宋_GB2312" w:cs="Times New Roman"/>
          <w:sz w:val="32"/>
          <w:szCs w:val="32"/>
          <w:shd w:val="clear" w:color="auto" w:fill="FFFFFF"/>
        </w:rPr>
        <w:t>健全水安全风险监测预警体系，强化气象水文耦合预报与灾害形势研判。加强江河洪水、水库垮坝、山洪灾害、干旱缺水等各类水利风险防控，开展水利工程安全隐患常态化排查除险。完善水旱灾害防御应急预案，强化抢险保障，健全水利工程生态影响评价与调控机制，构建系统完备、科学规范、运行有效的水利风险防控体系。</w:t>
      </w:r>
    </w:p>
    <w:p w14:paraId="6D03E2AE">
      <w:pPr>
        <w:pStyle w:val="5"/>
        <w:numPr>
          <w:ilvl w:val="2"/>
          <w:numId w:val="7"/>
        </w:numPr>
        <w:spacing w:after="0" w:line="600" w:lineRule="exact"/>
        <w:rPr>
          <w:rFonts w:hint="default" w:ascii="Times New Roman" w:hAnsi="Times New Roman" w:cs="Times New Roman"/>
          <w:sz w:val="32"/>
          <w:szCs w:val="32"/>
        </w:rPr>
      </w:pPr>
      <w:r>
        <w:rPr>
          <w:rFonts w:hint="default" w:ascii="Times New Roman" w:hAnsi="Times New Roman" w:cs="Times New Roman"/>
          <w:sz w:val="32"/>
          <w:szCs w:val="32"/>
        </w:rPr>
        <w:t>扎实推进移民安置与后扶工作</w:t>
      </w:r>
    </w:p>
    <w:p w14:paraId="2891B939">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color w:val="000000"/>
          <w:sz w:val="32"/>
          <w:szCs w:val="32"/>
          <w:shd w:val="clear" w:color="auto" w:fill="FFFFFF"/>
        </w:rPr>
        <w:t>移民工作围绕“搬得出、稳得住、能发展、可致富”目标，全力以赴保障工程建设</w:t>
      </w:r>
      <w:r>
        <w:rPr>
          <w:rFonts w:hint="default" w:ascii="Times New Roman" w:hAnsi="Times New Roman" w:eastAsia="仿宋_GB2312" w:cs="Times New Roman"/>
          <w:color w:val="000000"/>
          <w:sz w:val="32"/>
          <w:szCs w:val="32"/>
          <w:shd w:val="clear" w:color="auto" w:fill="FFFFFF"/>
          <w:lang w:eastAsia="zh-CN"/>
        </w:rPr>
        <w:t>和</w:t>
      </w:r>
      <w:r>
        <w:rPr>
          <w:rFonts w:hint="default" w:ascii="Times New Roman" w:hAnsi="Times New Roman" w:eastAsia="仿宋_GB2312" w:cs="Times New Roman"/>
          <w:color w:val="000000"/>
          <w:sz w:val="32"/>
          <w:szCs w:val="32"/>
          <w:shd w:val="clear" w:color="auto" w:fill="FFFFFF"/>
        </w:rPr>
        <w:t>助推移民区经济社会发展</w:t>
      </w: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做好</w:t>
      </w:r>
      <w:r>
        <w:rPr>
          <w:rFonts w:hint="default" w:ascii="Times New Roman" w:hAnsi="Times New Roman" w:eastAsia="仿宋_GB2312" w:cs="Times New Roman"/>
          <w:color w:val="000000"/>
          <w:sz w:val="32"/>
          <w:szCs w:val="32"/>
          <w:shd w:val="clear" w:color="auto" w:fill="FFFFFF"/>
        </w:rPr>
        <w:t>重点项目</w:t>
      </w:r>
      <w:r>
        <w:rPr>
          <w:rFonts w:hint="default" w:ascii="Times New Roman" w:hAnsi="Times New Roman" w:eastAsia="仿宋_GB2312" w:cs="Times New Roman"/>
          <w:color w:val="000000"/>
          <w:sz w:val="32"/>
          <w:szCs w:val="32"/>
          <w:shd w:val="clear" w:color="auto" w:fill="FFFFFF"/>
          <w:lang w:val="en-US" w:eastAsia="zh-CN"/>
        </w:rPr>
        <w:t>沫水航电枢纽工程</w:t>
      </w:r>
      <w:r>
        <w:rPr>
          <w:rFonts w:hint="default" w:ascii="Times New Roman" w:hAnsi="Times New Roman" w:eastAsia="仿宋_GB2312" w:cs="Times New Roman"/>
          <w:color w:val="000000"/>
          <w:sz w:val="32"/>
          <w:szCs w:val="32"/>
          <w:shd w:val="clear" w:color="auto" w:fill="FFFFFF"/>
        </w:rPr>
        <w:t>的移民安置</w:t>
      </w:r>
      <w:r>
        <w:rPr>
          <w:rFonts w:hint="default" w:ascii="Times New Roman" w:hAnsi="Times New Roman" w:eastAsia="仿宋_GB2312" w:cs="Times New Roman"/>
          <w:color w:val="000000"/>
          <w:sz w:val="32"/>
          <w:szCs w:val="32"/>
          <w:shd w:val="clear" w:color="auto" w:fill="FFFFFF"/>
          <w:lang w:eastAsia="zh-CN"/>
        </w:rPr>
        <w:t>规划及实施</w:t>
      </w:r>
      <w:r>
        <w:rPr>
          <w:rFonts w:hint="default" w:ascii="Times New Roman" w:hAnsi="Times New Roman" w:eastAsia="仿宋_GB2312" w:cs="Times New Roman"/>
          <w:color w:val="000000"/>
          <w:sz w:val="32"/>
          <w:szCs w:val="32"/>
          <w:shd w:val="clear" w:color="auto" w:fill="FFFFFF"/>
        </w:rPr>
        <w:t>工作，包括农村移民安置、专业项目迁（复）建及其他，促进重点工程项目顺利实施。聚焦增收发展，立足重点村资源禀赋，重点围绕特色产业培育、基础设施提档、就业创业帮扶、和美乡村建设四大方向整村、连片谋划项目，推动后扶工作从“兜底保障”向“提质增收”转型升级，促进水库移民与当地居民共同发展、共同富裕。</w:t>
      </w:r>
    </w:p>
    <w:p w14:paraId="27115C91">
      <w:pPr>
        <w:pStyle w:val="4"/>
        <w:spacing w:after="0"/>
        <w:ind w:firstLine="640"/>
        <w:rPr>
          <w:rFonts w:hint="default" w:ascii="Times New Roman" w:hAnsi="Times New Roman" w:cs="Times New Roman"/>
          <w:sz w:val="32"/>
          <w:szCs w:val="21"/>
        </w:rPr>
      </w:pPr>
    </w:p>
    <w:p w14:paraId="3C8F6243">
      <w:pPr>
        <w:pStyle w:val="4"/>
        <w:spacing w:after="0"/>
        <w:ind w:firstLine="640"/>
        <w:rPr>
          <w:rFonts w:hint="default" w:ascii="Times New Roman" w:hAnsi="Times New Roman" w:cs="Times New Roman"/>
          <w:sz w:val="32"/>
          <w:szCs w:val="21"/>
        </w:rPr>
        <w:sectPr>
          <w:headerReference r:id="rId11" w:type="default"/>
          <w:headerReference r:id="rId12" w:type="even"/>
          <w:pgSz w:w="11906" w:h="16838"/>
          <w:pgMar w:top="1616" w:right="1418" w:bottom="1616" w:left="1418" w:header="851" w:footer="850" w:gutter="0"/>
          <w:cols w:space="720" w:num="1"/>
          <w:docGrid w:type="lines" w:linePitch="381" w:charSpace="0"/>
        </w:sectPr>
      </w:pPr>
    </w:p>
    <w:bookmarkEnd w:id="252"/>
    <w:bookmarkEnd w:id="253"/>
    <w:bookmarkEnd w:id="254"/>
    <w:bookmarkEnd w:id="255"/>
    <w:p w14:paraId="44792BA1">
      <w:pPr>
        <w:pStyle w:val="2"/>
        <w:spacing w:after="340" w:line="600" w:lineRule="exact"/>
        <w:rPr>
          <w:rFonts w:hint="default" w:ascii="Times New Roman" w:hAnsi="Times New Roman" w:cs="Times New Roman"/>
          <w:sz w:val="36"/>
          <w:szCs w:val="36"/>
        </w:rPr>
      </w:pPr>
      <w:bookmarkStart w:id="278" w:name="_Toc26960"/>
      <w:bookmarkStart w:id="279" w:name="_Toc8521"/>
      <w:bookmarkStart w:id="280" w:name="_Toc30106"/>
      <w:bookmarkStart w:id="281" w:name="_Toc23957"/>
      <w:bookmarkStart w:id="282" w:name="_Toc23764"/>
      <w:bookmarkStart w:id="283" w:name="_Toc21536"/>
      <w:bookmarkStart w:id="284" w:name="_Toc22804"/>
      <w:bookmarkStart w:id="285" w:name="_Toc10719"/>
      <w:bookmarkStart w:id="286" w:name="_Toc24072"/>
      <w:bookmarkStart w:id="287" w:name="_Toc13238"/>
      <w:bookmarkStart w:id="288" w:name="_Toc3568"/>
      <w:bookmarkStart w:id="289" w:name="_Toc215129891"/>
      <w:bookmarkStart w:id="290" w:name="_Toc24180"/>
      <w:bookmarkStart w:id="291" w:name="_Toc369299316"/>
      <w:r>
        <w:rPr>
          <w:rFonts w:hint="default" w:ascii="Times New Roman" w:hAnsi="Times New Roman" w:cs="Times New Roman"/>
          <w:sz w:val="36"/>
          <w:szCs w:val="36"/>
        </w:rPr>
        <w:t>环境影响评价</w:t>
      </w:r>
      <w:bookmarkEnd w:id="278"/>
      <w:bookmarkEnd w:id="279"/>
      <w:bookmarkEnd w:id="280"/>
      <w:bookmarkEnd w:id="281"/>
      <w:bookmarkEnd w:id="282"/>
      <w:bookmarkEnd w:id="283"/>
      <w:bookmarkEnd w:id="284"/>
      <w:bookmarkEnd w:id="285"/>
      <w:bookmarkEnd w:id="286"/>
      <w:bookmarkEnd w:id="287"/>
      <w:bookmarkEnd w:id="288"/>
    </w:p>
    <w:p w14:paraId="06D8DCBB">
      <w:pPr>
        <w:pStyle w:val="3"/>
        <w:spacing w:line="600" w:lineRule="exact"/>
        <w:rPr>
          <w:rFonts w:hint="default" w:ascii="Times New Roman" w:hAnsi="Times New Roman" w:cs="Times New Roman"/>
          <w:sz w:val="32"/>
          <w:szCs w:val="32"/>
        </w:rPr>
      </w:pPr>
      <w:bookmarkStart w:id="292" w:name="_Toc29619"/>
      <w:bookmarkStart w:id="293" w:name="_Toc22187"/>
      <w:bookmarkStart w:id="294" w:name="_Toc17896"/>
      <w:bookmarkStart w:id="295" w:name="_Toc7565"/>
      <w:bookmarkStart w:id="296" w:name="_Toc14232"/>
      <w:bookmarkStart w:id="297" w:name="_Toc25379"/>
      <w:bookmarkStart w:id="298" w:name="_Toc1343"/>
      <w:bookmarkStart w:id="299" w:name="_Toc8416"/>
      <w:bookmarkStart w:id="300" w:name="_Toc20270"/>
      <w:bookmarkStart w:id="301" w:name="_Toc2705"/>
      <w:bookmarkStart w:id="302" w:name="_Toc9708"/>
      <w:r>
        <w:rPr>
          <w:rFonts w:hint="default" w:ascii="Times New Roman" w:hAnsi="Times New Roman" w:cs="Times New Roman"/>
          <w:sz w:val="32"/>
          <w:szCs w:val="32"/>
          <w:lang w:val="en-US"/>
        </w:rPr>
        <w:t>主要环境影响分析</w:t>
      </w:r>
      <w:bookmarkEnd w:id="292"/>
      <w:bookmarkEnd w:id="293"/>
      <w:bookmarkEnd w:id="294"/>
      <w:bookmarkEnd w:id="295"/>
      <w:bookmarkEnd w:id="296"/>
      <w:bookmarkEnd w:id="297"/>
      <w:bookmarkEnd w:id="298"/>
      <w:bookmarkEnd w:id="299"/>
      <w:bookmarkEnd w:id="300"/>
      <w:bookmarkEnd w:id="301"/>
      <w:bookmarkEnd w:id="302"/>
    </w:p>
    <w:p w14:paraId="03EACE4D">
      <w:pPr>
        <w:shd w:val="clear" w:color="auto" w:fill="FFFFFF"/>
        <w:spacing w:after="0" w:line="584"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水生生态环境影响分析。</w:t>
      </w:r>
      <w:r>
        <w:rPr>
          <w:rFonts w:hint="default" w:ascii="Times New Roman" w:hAnsi="Times New Roman" w:eastAsia="仿宋_GB2312" w:cs="Times New Roman"/>
          <w:sz w:val="32"/>
          <w:szCs w:val="32"/>
          <w:shd w:val="clear" w:color="auto" w:fill="FFFFFF"/>
        </w:rPr>
        <w:t>规划主要工程施工期将对水环境产生短期不利影响，规划年各区域供水量增加，将导致城乡生产、生活废污水产生量相应增加，对河段造成水质威胁。规划以大渡河为核心</w:t>
      </w:r>
      <w:r>
        <w:rPr>
          <w:rFonts w:hint="eastAsia" w:eastAsia="仿宋_GB2312" w:cs="Times New Roman"/>
          <w:sz w:val="32"/>
          <w:szCs w:val="32"/>
          <w:shd w:val="clear" w:color="auto" w:fill="FFFFFF"/>
          <w:lang w:eastAsia="zh-CN"/>
        </w:rPr>
        <w:t>，</w:t>
      </w:r>
      <w:r>
        <w:rPr>
          <w:rFonts w:hint="eastAsia" w:eastAsia="仿宋_GB2312" w:cs="Times New Roman"/>
          <w:sz w:val="32"/>
          <w:szCs w:val="32"/>
          <w:shd w:val="clear" w:color="auto" w:fill="FFFFFF"/>
          <w:lang w:val="en-US" w:eastAsia="zh-CN"/>
        </w:rPr>
        <w:t>沫</w:t>
      </w:r>
      <w:r>
        <w:rPr>
          <w:rFonts w:hint="default" w:ascii="Times New Roman" w:hAnsi="Times New Roman" w:eastAsia="仿宋_GB2312" w:cs="Times New Roman"/>
          <w:sz w:val="32"/>
          <w:szCs w:val="32"/>
          <w:shd w:val="clear" w:color="auto" w:fill="FFFFFF"/>
        </w:rPr>
        <w:t>溪河为骨干，建设生态廊道，实施水生态保护与修复、面源污染治理等措施，在河流两岸构建生物多样性绿色长廊，可有效减少污染物入河量，提升河流水质净化能力；同时因地制宜实施河流水系连通工程，改善城镇河流水质状况。</w:t>
      </w:r>
    </w:p>
    <w:p w14:paraId="4C0B3587">
      <w:pPr>
        <w:shd w:val="clear" w:color="auto" w:fill="FFFFFF"/>
        <w:spacing w:after="0" w:line="584"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陆生生态影响分析。</w:t>
      </w:r>
      <w:r>
        <w:rPr>
          <w:rFonts w:hint="default" w:ascii="Times New Roman" w:hAnsi="Times New Roman" w:eastAsia="仿宋_GB2312" w:cs="Times New Roman"/>
          <w:sz w:val="32"/>
          <w:szCs w:val="32"/>
          <w:shd w:val="clear" w:color="auto" w:fill="FFFFFF"/>
        </w:rPr>
        <w:t>防洪减灾、水土保持、水生态保护与修复等规划项目的实施，可有效减少水土流失，降低自然灾害对陆生生态的不良影响。施工期内渠道开挖、弃土堆置、施工辅助设施建设等活动将扰动原地貌、破坏地表植被，进而引发局部水土流失，施工噪声也会对野生动物会产生一定惊扰。鉴于施工期影响具有直接性、短期性和可逆性，且野生动物有一定迁移能力，其对野生动物栖息地的类型、结构和功能影响较小，不会改变野生动物总体分布格局和数量规模，总体维持现状水平。</w:t>
      </w:r>
    </w:p>
    <w:p w14:paraId="526F48BC">
      <w:pPr>
        <w:widowControl/>
        <w:spacing w:after="0" w:line="584"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shd w:val="clear" w:color="auto" w:fill="FFFFFF"/>
        </w:rPr>
        <w:t>重大工程对环境敏感区的影响分析。</w:t>
      </w:r>
      <w:r>
        <w:rPr>
          <w:rFonts w:hint="default" w:ascii="Times New Roman" w:hAnsi="Times New Roman" w:eastAsia="仿宋_GB2312" w:cs="Times New Roman"/>
          <w:kern w:val="0"/>
          <w:sz w:val="32"/>
          <w:szCs w:val="32"/>
        </w:rPr>
        <w:t>根据本规划重大引调水工程与环境敏感区、全国重点文物保护单位的区位关系分析，初步判定不存在重大环境制约因素，不会对文物保护单位、传统村落等历史文化资源及城镇排水系统造成不列影响。部分规划工程虽可能涉及生态敏感区，</w:t>
      </w:r>
      <w:r>
        <w:rPr>
          <w:rFonts w:hint="default" w:ascii="Times New Roman" w:hAnsi="Times New Roman" w:eastAsia="仿宋_GB2312" w:cs="Times New Roman"/>
          <w:sz w:val="32"/>
          <w:szCs w:val="32"/>
          <w:shd w:val="clear" w:color="auto" w:fill="FFFFFF"/>
        </w:rPr>
        <w:t>但此类工程为以提升流域水生态环境质量为目的的综合治理工程，通过优化工程布局、科学调整施工时序后，其主要影响仅为施工期环境敏感区生物量的少量损失，不会对环境敏感区的生态系统结构和功能造成实质性损害，工程完工后将对区域环境质量起到明显的提升和改善作用。</w:t>
      </w:r>
      <w:r>
        <w:rPr>
          <w:rFonts w:hint="default" w:ascii="Times New Roman" w:hAnsi="Times New Roman" w:eastAsia="仿宋_GB2312" w:cs="Times New Roman"/>
          <w:kern w:val="0"/>
          <w:sz w:val="32"/>
          <w:szCs w:val="32"/>
        </w:rPr>
        <w:t>在项目规划和实施阶段，应结合全</w:t>
      </w:r>
      <w:r>
        <w:rPr>
          <w:rFonts w:hint="eastAsia" w:eastAsia="仿宋_GB2312" w:cs="Times New Roman"/>
          <w:kern w:val="0"/>
          <w:sz w:val="32"/>
          <w:szCs w:val="32"/>
          <w:lang w:val="en-US" w:eastAsia="zh-CN"/>
        </w:rPr>
        <w:t>区</w:t>
      </w:r>
      <w:r>
        <w:rPr>
          <w:rFonts w:hint="default" w:ascii="Times New Roman" w:hAnsi="Times New Roman" w:eastAsia="仿宋_GB2312" w:cs="Times New Roman"/>
          <w:kern w:val="0"/>
          <w:sz w:val="32"/>
          <w:szCs w:val="32"/>
        </w:rPr>
        <w:t>已建立的以国家或省级公园为主体的自然保护地体系，严格落实生态保护红线管控要求，进一步梳理环境敏感制约因素，确保工程建设与生态保护协同推进。</w:t>
      </w:r>
    </w:p>
    <w:p w14:paraId="32317B38">
      <w:pPr>
        <w:pStyle w:val="3"/>
        <w:spacing w:line="584" w:lineRule="exact"/>
        <w:rPr>
          <w:rFonts w:hint="default" w:ascii="Times New Roman" w:hAnsi="Times New Roman" w:cs="Times New Roman"/>
          <w:sz w:val="32"/>
          <w:szCs w:val="32"/>
          <w:lang w:val="en-US"/>
        </w:rPr>
      </w:pPr>
      <w:bookmarkStart w:id="303" w:name="_Toc13481"/>
      <w:bookmarkStart w:id="304" w:name="_Toc20679"/>
      <w:bookmarkStart w:id="305" w:name="_Toc30087"/>
      <w:bookmarkStart w:id="306" w:name="_Toc18676"/>
      <w:bookmarkStart w:id="307" w:name="_Toc30358"/>
      <w:bookmarkStart w:id="308" w:name="_Toc1391"/>
      <w:bookmarkStart w:id="309" w:name="_Toc26610"/>
      <w:bookmarkStart w:id="310" w:name="_Toc14521"/>
      <w:bookmarkStart w:id="311" w:name="_Toc17002"/>
      <w:bookmarkStart w:id="312" w:name="_Toc17834"/>
      <w:bookmarkStart w:id="313" w:name="_Toc29187"/>
      <w:bookmarkStart w:id="314" w:name="_Toc2058"/>
      <w:r>
        <w:rPr>
          <w:rFonts w:hint="default" w:ascii="Times New Roman" w:hAnsi="Times New Roman" w:cs="Times New Roman"/>
          <w:sz w:val="32"/>
          <w:szCs w:val="32"/>
          <w:lang w:val="en-US"/>
        </w:rPr>
        <w:t>环境影响减缓对策与保护措施</w:t>
      </w:r>
      <w:bookmarkEnd w:id="303"/>
      <w:bookmarkEnd w:id="304"/>
      <w:bookmarkEnd w:id="305"/>
      <w:bookmarkEnd w:id="306"/>
      <w:bookmarkEnd w:id="307"/>
      <w:bookmarkEnd w:id="308"/>
      <w:bookmarkEnd w:id="309"/>
      <w:bookmarkEnd w:id="310"/>
      <w:bookmarkEnd w:id="311"/>
      <w:bookmarkEnd w:id="312"/>
      <w:bookmarkEnd w:id="313"/>
      <w:bookmarkEnd w:id="314"/>
    </w:p>
    <w:p w14:paraId="034B109E">
      <w:pPr>
        <w:shd w:val="clear" w:color="auto" w:fill="FFFFFF"/>
        <w:spacing w:after="0" w:line="584" w:lineRule="exact"/>
        <w:ind w:firstLine="640" w:firstLineChars="200"/>
        <w:rPr>
          <w:rFonts w:hint="default" w:ascii="Times New Roman" w:hAnsi="Times New Roman" w:eastAsia="仿宋_GB2312" w:cs="Times New Roman"/>
          <w:sz w:val="32"/>
          <w:szCs w:val="32"/>
          <w:shd w:val="clear" w:color="auto" w:fill="FFFFFF"/>
        </w:rPr>
      </w:pPr>
      <w:bookmarkStart w:id="315" w:name="OLE_LINK4"/>
      <w:r>
        <w:rPr>
          <w:rFonts w:hint="default" w:ascii="Times New Roman" w:hAnsi="Times New Roman" w:eastAsia="楷体_GB2312" w:cs="Times New Roman"/>
          <w:sz w:val="32"/>
          <w:szCs w:val="32"/>
          <w:shd w:val="clear" w:color="auto" w:fill="FFFFFF"/>
        </w:rPr>
        <w:t>加强与上位规划衔接。</w:t>
      </w:r>
      <w:r>
        <w:rPr>
          <w:rFonts w:hint="default" w:ascii="Times New Roman" w:hAnsi="Times New Roman" w:eastAsia="仿宋_GB2312" w:cs="Times New Roman"/>
          <w:sz w:val="32"/>
          <w:szCs w:val="32"/>
          <w:shd w:val="clear" w:color="auto" w:fill="FFFFFF"/>
        </w:rPr>
        <w:t>重点加强与《乐山市国土空间总体规划（2021—2035年）》《四川省现代水网建设规划》《乐山市现代水网建设规划》等上位规划的衔接，严格落实“先节水后调水、先治污后通水、先环保后用水”的“三先三后”原则，规划方案严守资源利用上限、环境质量底线、生态保护红线。规划工程选址选线应依法依规避让各类自然保护地及纳入生态保护红线管理的环境敏感区，对于涉及国家公园、自然保护区、风景名胜区、森林公园、地质公园、国家湿地公园、水产种质资源保护区以及生态保护红线等环境敏感区的水资源开发利用活动，在工程设计阶段应进一步优化工程设计方案，严格依法落实保护要求，从源头上规避对生态敏感区的不利影响，并按照相关法律法规要求征求主管部门意见，办理审批手续；确实无法规避的，需充分论证工程建设影响，履行相关行政许可手续，强化减缓和补偿措施。</w:t>
      </w:r>
    </w:p>
    <w:p w14:paraId="773C4F52">
      <w:pPr>
        <w:shd w:val="clear" w:color="auto" w:fill="FFFFFF"/>
        <w:spacing w:line="584" w:lineRule="exact"/>
        <w:ind w:firstLine="640" w:firstLineChars="200"/>
        <w:rPr>
          <w:rFonts w:hint="default" w:ascii="Times New Roman" w:hAnsi="Times New Roman" w:eastAsia="仿宋_GB2312" w:cs="Times New Roman"/>
          <w:sz w:val="32"/>
          <w:szCs w:val="32"/>
          <w:shd w:val="clear" w:color="auto" w:fill="FFFFFF"/>
        </w:rPr>
      </w:pPr>
      <w:bookmarkStart w:id="316" w:name="OLE_LINK5"/>
      <w:r>
        <w:rPr>
          <w:rFonts w:hint="default" w:ascii="Times New Roman" w:hAnsi="Times New Roman" w:eastAsia="楷体_GB2312" w:cs="Times New Roman"/>
          <w:sz w:val="32"/>
          <w:szCs w:val="32"/>
          <w:shd w:val="clear" w:color="auto" w:fill="FFFFFF"/>
        </w:rPr>
        <w:t>优化工程设计。</w:t>
      </w:r>
      <w:bookmarkEnd w:id="316"/>
      <w:r>
        <w:rPr>
          <w:rFonts w:hint="default" w:ascii="Times New Roman" w:hAnsi="Times New Roman" w:eastAsia="仿宋_GB2312" w:cs="Times New Roman"/>
          <w:sz w:val="32"/>
          <w:szCs w:val="32"/>
          <w:shd w:val="clear" w:color="auto" w:fill="FFFFFF"/>
        </w:rPr>
        <w:t>防洪减灾工程在确保防洪安全的基础上，需充分兼顾水生态保护与修复需求，采用生态友好型工程方案、环保材料和施工工艺。灌区工程应加强农业节水和面源污染控制，减少灌溉退水对受纳河流的不利影响。工程施工期需严格按照生产建设项目水土保持方案，落实表土剥离、临时排水设施建设等水土流失减缓措施，防范施工期水土流失风险。</w:t>
      </w:r>
    </w:p>
    <w:p w14:paraId="5DFB61EF">
      <w:pPr>
        <w:shd w:val="clear" w:color="auto" w:fill="FFFFFF"/>
        <w:spacing w:after="0" w:line="584" w:lineRule="exact"/>
        <w:ind w:firstLine="640" w:firstLineChars="200"/>
        <w:rPr>
          <w:rFonts w:hint="default" w:ascii="Times New Roman" w:hAnsi="Times New Roman" w:eastAsia="楷体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规范规划工程环评手续。</w:t>
      </w:r>
      <w:r>
        <w:rPr>
          <w:rFonts w:hint="default" w:ascii="Times New Roman" w:hAnsi="Times New Roman" w:eastAsia="仿宋_GB2312" w:cs="Times New Roman"/>
          <w:sz w:val="32"/>
          <w:szCs w:val="32"/>
          <w:shd w:val="clear" w:color="auto" w:fill="FFFFFF"/>
        </w:rPr>
        <w:t>对规划确定实施的后续水利工程项目，应依据《中华人民共和国环境影响评价法》《建设项目环境保护管理条例》《规划环境影响评价条例》等法律法规，依法依规办理项目环境影响评价相关手续。对可能造成不良环境影响并直接涉及公众环境权益的专项规划，应采取调查问卷、座谈会、论证会、听证会等多种形式，公开征求公众意见，保障公众环境权益。</w:t>
      </w:r>
    </w:p>
    <w:p w14:paraId="6D670E99">
      <w:pPr>
        <w:shd w:val="clear" w:color="auto" w:fill="FFFFFF"/>
        <w:spacing w:after="0" w:line="584"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加强环境影响跟踪评价。</w:t>
      </w:r>
      <w:r>
        <w:rPr>
          <w:rFonts w:hint="default" w:ascii="Times New Roman" w:hAnsi="Times New Roman" w:eastAsia="仿宋_GB2312" w:cs="Times New Roman"/>
          <w:sz w:val="32"/>
          <w:szCs w:val="32"/>
          <w:shd w:val="clear" w:color="auto" w:fill="FFFFFF"/>
        </w:rPr>
        <w:t>对规划各实施阶段开展成效检验，重点分析受干扰敏感区的影响程度、水体水质类别等指标，及时掌握区域环境变化动态。分阶段核查各项环境保护措施的落实情况，全面评估措施实施效果，深入分析未落实到位的原因，针对性提出改进意见。夯实生态廊道建设、清洁小流域治理等工程的后期管护责任主体，落实植被定期修剪、坡面水系清理等后期维护管理措施，强化规划实施全过程环境风险评价与管控，针对可能发生的重大环境风险问题，科学制定突发事件应急管理措施，防范化解环境风险隐患。</w:t>
      </w:r>
    </w:p>
    <w:bookmarkEnd w:id="315"/>
    <w:p w14:paraId="746C7159">
      <w:pPr>
        <w:pStyle w:val="2"/>
        <w:spacing w:after="340" w:line="600" w:lineRule="exact"/>
        <w:rPr>
          <w:rFonts w:hint="default" w:ascii="Times New Roman" w:hAnsi="Times New Roman" w:cs="Times New Roman"/>
          <w:sz w:val="36"/>
          <w:szCs w:val="36"/>
        </w:rPr>
      </w:pPr>
      <w:bookmarkStart w:id="317" w:name="_Toc15848"/>
      <w:bookmarkStart w:id="318" w:name="_Toc22947"/>
      <w:bookmarkStart w:id="319" w:name="_Toc28598"/>
      <w:bookmarkStart w:id="320" w:name="_Toc16412"/>
      <w:bookmarkStart w:id="321" w:name="_Toc11437"/>
      <w:bookmarkStart w:id="322" w:name="_Toc24563"/>
      <w:bookmarkStart w:id="323" w:name="_Toc29002"/>
      <w:bookmarkStart w:id="324" w:name="_Toc2283"/>
      <w:bookmarkStart w:id="325" w:name="_Toc20955"/>
      <w:bookmarkStart w:id="326" w:name="_Toc15808"/>
      <w:r>
        <w:rPr>
          <w:rFonts w:hint="default" w:ascii="Times New Roman" w:hAnsi="Times New Roman" w:cs="Times New Roman"/>
          <w:sz w:val="36"/>
          <w:szCs w:val="36"/>
        </w:rPr>
        <w:t>保障措施</w:t>
      </w:r>
      <w:bookmarkEnd w:id="289"/>
      <w:bookmarkEnd w:id="290"/>
      <w:bookmarkEnd w:id="291"/>
      <w:bookmarkEnd w:id="317"/>
      <w:bookmarkEnd w:id="318"/>
      <w:bookmarkEnd w:id="319"/>
      <w:bookmarkEnd w:id="320"/>
      <w:bookmarkEnd w:id="321"/>
      <w:bookmarkEnd w:id="322"/>
      <w:bookmarkEnd w:id="323"/>
      <w:bookmarkEnd w:id="324"/>
      <w:bookmarkEnd w:id="325"/>
      <w:bookmarkEnd w:id="326"/>
    </w:p>
    <w:p w14:paraId="69164301">
      <w:pPr>
        <w:pStyle w:val="3"/>
        <w:spacing w:line="600" w:lineRule="exact"/>
        <w:rPr>
          <w:rFonts w:hint="default" w:ascii="Times New Roman" w:hAnsi="Times New Roman" w:cs="Times New Roman"/>
          <w:sz w:val="32"/>
          <w:szCs w:val="32"/>
          <w:lang w:val="en-US"/>
        </w:rPr>
      </w:pPr>
      <w:bookmarkStart w:id="327" w:name="_Toc217984404"/>
      <w:bookmarkEnd w:id="327"/>
      <w:bookmarkStart w:id="328" w:name="_Toc15197"/>
      <w:bookmarkStart w:id="329" w:name="_Toc6618"/>
      <w:bookmarkStart w:id="330" w:name="_Toc29573"/>
      <w:bookmarkStart w:id="331" w:name="_Toc25527"/>
      <w:bookmarkStart w:id="332" w:name="_Toc10230"/>
      <w:bookmarkStart w:id="333" w:name="_Toc18818"/>
      <w:bookmarkStart w:id="334" w:name="_Toc6198"/>
      <w:bookmarkStart w:id="335" w:name="_Toc14634"/>
      <w:bookmarkStart w:id="336" w:name="_Toc26159"/>
      <w:bookmarkStart w:id="337" w:name="_Toc4057"/>
      <w:bookmarkStart w:id="338" w:name="_Toc16777"/>
      <w:bookmarkStart w:id="339" w:name="_Toc460839135"/>
      <w:bookmarkStart w:id="340" w:name="_Toc461553283"/>
      <w:bookmarkStart w:id="341" w:name="_Toc461553355"/>
      <w:bookmarkStart w:id="342" w:name="_Toc30913"/>
      <w:r>
        <w:rPr>
          <w:rFonts w:hint="default" w:ascii="Times New Roman" w:hAnsi="Times New Roman" w:cs="Times New Roman"/>
          <w:sz w:val="32"/>
          <w:szCs w:val="32"/>
          <w:lang w:val="en-US"/>
        </w:rPr>
        <w:t>加强组织领导</w:t>
      </w:r>
      <w:bookmarkEnd w:id="328"/>
      <w:bookmarkEnd w:id="329"/>
      <w:bookmarkEnd w:id="330"/>
      <w:bookmarkEnd w:id="331"/>
      <w:bookmarkEnd w:id="332"/>
      <w:bookmarkEnd w:id="333"/>
      <w:bookmarkEnd w:id="334"/>
      <w:bookmarkEnd w:id="335"/>
      <w:bookmarkEnd w:id="336"/>
      <w:bookmarkEnd w:id="337"/>
      <w:bookmarkEnd w:id="338"/>
    </w:p>
    <w:p w14:paraId="0AE464A2">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坚持和加强党对水安全保障工作的全面领导，深入学习贯彻习近平总书记关于治水兴水的重要论述和江河战略重要指示精神，坚决落实党中央、国务院决策部署，充分发挥各级党委总揽全局、协调各方的领导核心作用。健全</w:t>
      </w:r>
      <w:r>
        <w:rPr>
          <w:rFonts w:hint="eastAsia" w:eastAsia="仿宋_GB2312" w:cs="Times New Roman"/>
          <w:sz w:val="32"/>
          <w:szCs w:val="32"/>
          <w:shd w:val="clear" w:color="auto" w:fill="FFFFFF"/>
          <w:lang w:val="en-US" w:eastAsia="zh-CN"/>
        </w:rPr>
        <w:t>区</w:t>
      </w:r>
      <w:r>
        <w:rPr>
          <w:rFonts w:hint="default" w:ascii="Times New Roman" w:hAnsi="Times New Roman" w:eastAsia="仿宋_GB2312" w:cs="Times New Roman"/>
          <w:sz w:val="32"/>
          <w:szCs w:val="32"/>
          <w:shd w:val="clear" w:color="auto" w:fill="FFFFFF"/>
        </w:rPr>
        <w:t>、</w:t>
      </w:r>
      <w:r>
        <w:rPr>
          <w:rFonts w:hint="eastAsia" w:eastAsia="仿宋_GB2312" w:cs="Times New Roman"/>
          <w:sz w:val="32"/>
          <w:szCs w:val="32"/>
          <w:shd w:val="clear" w:color="auto" w:fill="FFFFFF"/>
          <w:lang w:val="en-US" w:eastAsia="zh-CN"/>
        </w:rPr>
        <w:t>镇、村</w:t>
      </w:r>
      <w:r>
        <w:rPr>
          <w:rFonts w:hint="default" w:ascii="Times New Roman" w:hAnsi="Times New Roman" w:eastAsia="仿宋_GB2312" w:cs="Times New Roman"/>
          <w:sz w:val="32"/>
          <w:szCs w:val="32"/>
          <w:shd w:val="clear" w:color="auto" w:fill="FFFFFF"/>
        </w:rPr>
        <w:t>三级党组织统筹推进机制，压实各级领导干部责任，激励担当作为，统筹推进各项任务落地见效。水行政主管部门切实履行牵头抓总职责，加强跨部门协同联动；发展改革、财政、自然资源、生态环境、农业农村、林业、乡村振兴等相关部门按照职责分工密切配合，构建权责清晰、协同高效、齐抓共管的工作格局，凝聚工作合力</w:t>
      </w:r>
      <w:r>
        <w:rPr>
          <w:rFonts w:hint="default" w:ascii="Times New Roman" w:hAnsi="Times New Roman" w:eastAsia="仿宋_GB2312" w:cs="Times New Roman"/>
          <w:sz w:val="32"/>
          <w:szCs w:val="32"/>
        </w:rPr>
        <w:t>。</w:t>
      </w:r>
    </w:p>
    <w:p w14:paraId="4C96AA1A">
      <w:pPr>
        <w:pStyle w:val="3"/>
        <w:spacing w:line="600" w:lineRule="exact"/>
        <w:rPr>
          <w:rFonts w:hint="default" w:ascii="Times New Roman" w:hAnsi="Times New Roman" w:cs="Times New Roman"/>
          <w:sz w:val="32"/>
          <w:szCs w:val="32"/>
          <w:lang w:val="en-US"/>
        </w:rPr>
      </w:pPr>
      <w:bookmarkStart w:id="343" w:name="_Toc8331"/>
      <w:bookmarkStart w:id="344" w:name="_Toc8639"/>
      <w:bookmarkStart w:id="345" w:name="_Toc11329"/>
      <w:bookmarkStart w:id="346" w:name="_Toc17443"/>
      <w:bookmarkStart w:id="347" w:name="_Toc917"/>
      <w:bookmarkStart w:id="348" w:name="_Toc26229"/>
      <w:bookmarkStart w:id="349" w:name="_Toc32753"/>
      <w:bookmarkStart w:id="350" w:name="_Toc7160"/>
      <w:bookmarkStart w:id="351" w:name="_Toc16546"/>
      <w:bookmarkStart w:id="352" w:name="_Toc1402"/>
      <w:r>
        <w:rPr>
          <w:rFonts w:hint="default" w:ascii="Times New Roman" w:hAnsi="Times New Roman" w:cs="Times New Roman"/>
          <w:sz w:val="32"/>
          <w:szCs w:val="32"/>
          <w:lang w:val="en-US"/>
        </w:rPr>
        <w:t>落实目标责任</w:t>
      </w:r>
      <w:bookmarkEnd w:id="343"/>
      <w:bookmarkEnd w:id="344"/>
      <w:bookmarkEnd w:id="345"/>
      <w:bookmarkEnd w:id="346"/>
      <w:bookmarkEnd w:id="347"/>
      <w:bookmarkEnd w:id="348"/>
      <w:bookmarkEnd w:id="349"/>
      <w:bookmarkEnd w:id="350"/>
      <w:bookmarkEnd w:id="351"/>
      <w:bookmarkEnd w:id="352"/>
    </w:p>
    <w:p w14:paraId="3A940A95">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eastAsia" w:eastAsia="仿宋_GB2312" w:cs="Times New Roman"/>
          <w:sz w:val="32"/>
          <w:szCs w:val="32"/>
          <w:shd w:val="clear" w:color="auto" w:fill="FFFFFF"/>
          <w:lang w:val="en-US" w:eastAsia="zh-CN"/>
        </w:rPr>
        <w:t>区级</w:t>
      </w:r>
      <w:r>
        <w:rPr>
          <w:rFonts w:hint="default" w:ascii="Times New Roman" w:hAnsi="Times New Roman" w:eastAsia="仿宋_GB2312" w:cs="Times New Roman"/>
          <w:sz w:val="32"/>
          <w:szCs w:val="32"/>
          <w:shd w:val="clear" w:color="auto" w:fill="FFFFFF"/>
        </w:rPr>
        <w:t>党委、政府强化对“十五五”水安全保障工作的统筹谋划，明晰责任分工、推进节点和时序要求，合力推动规划有序实施。细化分解规划确定的主要目标、重点任务，压实工作责任，形成层层抓落实的工作局面。健全规划实施动态监测、跟踪调度和成效评估机制，精准梳理短板弱项，破解难点堵点，持续提升规划实施质效。</w:t>
      </w:r>
    </w:p>
    <w:p w14:paraId="4EF8EAA9">
      <w:pPr>
        <w:pStyle w:val="3"/>
        <w:spacing w:line="600" w:lineRule="exact"/>
        <w:rPr>
          <w:rFonts w:hint="default" w:ascii="Times New Roman" w:hAnsi="Times New Roman" w:cs="Times New Roman"/>
          <w:sz w:val="32"/>
          <w:szCs w:val="32"/>
          <w:lang w:val="en-US"/>
        </w:rPr>
      </w:pPr>
      <w:bookmarkStart w:id="353" w:name="_Toc9399"/>
      <w:bookmarkStart w:id="354" w:name="_Toc17354"/>
      <w:bookmarkStart w:id="355" w:name="_Toc251"/>
      <w:bookmarkStart w:id="356" w:name="_Toc10588"/>
      <w:bookmarkStart w:id="357" w:name="_Toc6993"/>
      <w:bookmarkStart w:id="358" w:name="_Toc28676"/>
      <w:bookmarkStart w:id="359" w:name="_Toc28709"/>
      <w:bookmarkStart w:id="360" w:name="_Toc12791"/>
      <w:bookmarkStart w:id="361" w:name="_Toc30352"/>
      <w:bookmarkStart w:id="362" w:name="_Toc20791"/>
      <w:bookmarkStart w:id="363" w:name="_Toc16981"/>
      <w:r>
        <w:rPr>
          <w:rFonts w:hint="default" w:ascii="Times New Roman" w:hAnsi="Times New Roman" w:cs="Times New Roman"/>
          <w:sz w:val="32"/>
          <w:szCs w:val="32"/>
          <w:lang w:val="en-US"/>
        </w:rPr>
        <w:t>深化前期工作</w:t>
      </w:r>
      <w:bookmarkEnd w:id="353"/>
      <w:bookmarkEnd w:id="354"/>
      <w:bookmarkEnd w:id="355"/>
      <w:bookmarkEnd w:id="356"/>
      <w:bookmarkEnd w:id="357"/>
      <w:bookmarkEnd w:id="358"/>
      <w:bookmarkEnd w:id="359"/>
      <w:bookmarkEnd w:id="360"/>
      <w:bookmarkEnd w:id="361"/>
      <w:bookmarkEnd w:id="362"/>
      <w:bookmarkEnd w:id="363"/>
    </w:p>
    <w:p w14:paraId="05030EDE">
      <w:pPr>
        <w:pStyle w:val="57"/>
        <w:rPr>
          <w:rFonts w:hint="default" w:ascii="Times New Roman" w:hAnsi="Times New Roman" w:cs="Times New Roman"/>
          <w:shd w:val="clear" w:color="auto" w:fill="FFFFFF"/>
        </w:rPr>
      </w:pPr>
      <w:r>
        <w:rPr>
          <w:rFonts w:hint="default" w:ascii="Times New Roman" w:hAnsi="Times New Roman" w:cs="Times New Roman"/>
          <w:color w:val="000000"/>
        </w:rPr>
        <w:t>健全项目前期工作责任体系，保障前期工作经费。严格落实前期工作市场准入、技术审查及审批监管终身负责制，规范技术审查，</w:t>
      </w:r>
      <w:r>
        <w:rPr>
          <w:rFonts w:hint="default" w:ascii="Times New Roman" w:hAnsi="Times New Roman" w:cs="Times New Roman"/>
          <w:shd w:val="clear" w:color="auto" w:fill="FFFFFF"/>
        </w:rPr>
        <w:t>依法依规简化审批流程。对标“四个一批”要求，统筹推进水利工程滚动实施，稳步竣工验收一批、提速在建推进一批、聚力开工落地一批、做实储备谋划一批，充分发挥水利工程综合效益。严格执行工程建设管理制度，强化全过程管控和廉政风险防控，严守工程质量、生产安全和资金安全底线。依法依规开展工程建设征地补偿、移民安置及社会稳定风险评估，扎实做好水库移民后期扶持工作，切实保障移民群众合法权益，维护区域社会和谐稳定。</w:t>
      </w:r>
    </w:p>
    <w:p w14:paraId="266A7D98">
      <w:pPr>
        <w:pStyle w:val="3"/>
        <w:spacing w:line="600" w:lineRule="exact"/>
        <w:rPr>
          <w:rFonts w:hint="default" w:ascii="Times New Roman" w:hAnsi="Times New Roman" w:cs="Times New Roman"/>
          <w:sz w:val="32"/>
          <w:szCs w:val="32"/>
          <w:lang w:val="en-US"/>
        </w:rPr>
      </w:pPr>
      <w:bookmarkStart w:id="364" w:name="_Toc15374"/>
      <w:bookmarkStart w:id="365" w:name="_Toc2204"/>
      <w:bookmarkStart w:id="366" w:name="_Toc27119"/>
      <w:bookmarkStart w:id="367" w:name="_Toc30639"/>
      <w:bookmarkStart w:id="368" w:name="_Toc12780"/>
      <w:bookmarkStart w:id="369" w:name="_Toc12379"/>
      <w:bookmarkStart w:id="370" w:name="_Toc12890"/>
      <w:bookmarkStart w:id="371" w:name="_Toc32421"/>
      <w:bookmarkStart w:id="372" w:name="_Toc19346"/>
      <w:bookmarkStart w:id="373" w:name="_Toc16730"/>
      <w:r>
        <w:rPr>
          <w:rFonts w:hint="default" w:ascii="Times New Roman" w:hAnsi="Times New Roman" w:cs="Times New Roman"/>
          <w:sz w:val="32"/>
          <w:szCs w:val="32"/>
          <w:lang w:val="en-US"/>
        </w:rPr>
        <w:t>加强要素保障</w:t>
      </w:r>
      <w:bookmarkEnd w:id="364"/>
      <w:bookmarkEnd w:id="365"/>
      <w:bookmarkEnd w:id="366"/>
      <w:bookmarkEnd w:id="367"/>
      <w:bookmarkEnd w:id="368"/>
      <w:bookmarkEnd w:id="369"/>
      <w:bookmarkEnd w:id="370"/>
      <w:bookmarkEnd w:id="371"/>
      <w:bookmarkEnd w:id="372"/>
      <w:bookmarkEnd w:id="373"/>
    </w:p>
    <w:p w14:paraId="3F94A32C">
      <w:pPr>
        <w:widowControl/>
        <w:spacing w:after="0" w:line="600" w:lineRule="exact"/>
        <w:ind w:firstLine="640" w:firstLineChars="20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强化与国土空间规划及各类专项规划衔接，破解重点项目推进过程中的突出问题，落实用地、环评、资金等关键要素保障，保障项目高效推进、尽早见效。统筹整合各类涉水资金，构建以中央和地方财政投入为主、社会资本广泛参与的多元化投融资体系，积极拓宽资金筹措渠道，健全水利投入长效机制。深化水情宣传和节水普法，依法依规公开相关信息，增强全社会水安全和河湖保护意识，凝聚治水兴水合力，营造良好社会氛围。</w:t>
      </w:r>
      <w:bookmarkEnd w:id="339"/>
      <w:bookmarkEnd w:id="340"/>
      <w:bookmarkEnd w:id="341"/>
      <w:bookmarkEnd w:id="342"/>
    </w:p>
    <w:sectPr>
      <w:headerReference r:id="rId13" w:type="default"/>
      <w:footerReference r:id="rId15" w:type="default"/>
      <w:headerReference r:id="rId14" w:type="even"/>
      <w:footerReference r:id="rId16" w:type="even"/>
      <w:pgSz w:w="11906" w:h="16838"/>
      <w:pgMar w:top="1616" w:right="1418" w:bottom="1616" w:left="1418" w:header="851" w:footer="1304" w:gutter="0"/>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魏碑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6C8FB">
    <w:pPr>
      <w:snapToGrid w:val="0"/>
      <w:ind w:right="360"/>
      <w:jc w:val="left"/>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048571"/>
      <w:docPartObj>
        <w:docPartGallery w:val="autotext"/>
      </w:docPartObj>
    </w:sdtPr>
    <w:sdtContent>
      <w:p w14:paraId="0EE4F808">
        <w:pPr>
          <w:pStyle w:val="13"/>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EB5595D">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0707968"/>
      <w:docPartObj>
        <w:docPartGallery w:val="autotext"/>
      </w:docPartObj>
    </w:sdtPr>
    <w:sdtContent>
      <w:p w14:paraId="794F824D">
        <w:pPr>
          <w:pStyle w:val="13"/>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63D66DC1">
    <w:pPr>
      <w:snapToGrid w:val="0"/>
      <w:ind w:right="360"/>
      <w:jc w:val="left"/>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0556530"/>
    </w:sdtPr>
    <w:sdtContent>
      <w:p w14:paraId="01F70CC4">
        <w:pPr>
          <w:pStyle w:val="13"/>
          <w:spacing w:after="0" w:line="240" w:lineRule="auto"/>
          <w:jc w:val="center"/>
        </w:pP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A5B91">
    <w:pPr>
      <w:pStyle w:val="13"/>
      <w:spacing w:after="0" w:line="240" w:lineRule="auto"/>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B7F4E">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09DD7">
    <w:pPr>
      <w:pBdr>
        <w:bottom w:val="none" w:color="auto" w:sz="0" w:space="1"/>
      </w:pBdr>
      <w:tabs>
        <w:tab w:val="right" w:pos="8370"/>
      </w:tabs>
      <w:spacing w:after="0" w:line="560" w:lineRule="exact"/>
      <w:ind w:right="525" w:rightChars="25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1D728">
    <w:pPr>
      <w:pStyle w:val="19"/>
      <w:pBdr>
        <w:bottom w:val="none" w:color="auto" w:sz="0" w:space="1"/>
      </w:pBdr>
      <w:tabs>
        <w:tab w:val="right" w:pos="9070"/>
        <w:tab w:val="right" w:pos="13606"/>
        <w:tab w:val="clear" w:pos="8306"/>
      </w:tabs>
      <w:spacing w:after="0" w:line="560" w:lineRule="exact"/>
      <w:ind w:left="708" w:leftChars="337"/>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920C2">
    <w:pPr>
      <w:pBdr>
        <w:bottom w:val="none" w:color="auto" w:sz="0" w:space="1"/>
      </w:pBdr>
      <w:tabs>
        <w:tab w:val="right" w:pos="8370"/>
      </w:tabs>
      <w:spacing w:after="0" w:line="560" w:lineRule="exact"/>
      <w:ind w:right="525" w:rightChars="25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40D6E">
    <w:pPr>
      <w:pStyle w:val="19"/>
      <w:pBdr>
        <w:bottom w:val="none" w:color="auto" w:sz="0" w:space="1"/>
      </w:pBdr>
      <w:tabs>
        <w:tab w:val="right" w:pos="9070"/>
        <w:tab w:val="right" w:pos="13606"/>
        <w:tab w:val="clear" w:pos="8306"/>
      </w:tabs>
      <w:spacing w:after="0" w:line="560" w:lineRule="exact"/>
      <w:ind w:left="708" w:leftChars="337"/>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9FDFE">
    <w:pPr>
      <w:pStyle w:val="19"/>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BC616">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E81FE0"/>
    <w:multiLevelType w:val="multilevel"/>
    <w:tmpl w:val="49E81FE0"/>
    <w:lvl w:ilvl="0" w:tentative="0">
      <w:start w:val="1"/>
      <w:numFmt w:val="chineseCountingThousand"/>
      <w:suff w:val="nothing"/>
      <w:lvlText w:val="%1、"/>
      <w:lvlJc w:val="center"/>
      <w:pPr>
        <w:ind w:left="425" w:hanging="137"/>
      </w:pPr>
      <w:rPr>
        <w:rFonts w:hint="eastAsia"/>
      </w:rPr>
    </w:lvl>
    <w:lvl w:ilvl="1" w:tentative="0">
      <w:start w:val="1"/>
      <w:numFmt w:val="chineseCountingThousand"/>
      <w:suff w:val="nothing"/>
      <w:lvlText w:val="%2（%1）"/>
      <w:lvlJc w:val="left"/>
      <w:pPr>
        <w:ind w:left="992" w:hanging="567"/>
      </w:pPr>
      <w:rPr>
        <w:rFonts w:hint="eastAsia"/>
      </w:rPr>
    </w:lvl>
    <w:lvl w:ilvl="2" w:tentative="0">
      <w:start w:val="1"/>
      <w:numFmt w:val="chineseCountingThousand"/>
      <w:pStyle w:val="5"/>
      <w:suff w:val="nothing"/>
      <w:lvlText w:val="（%3）"/>
      <w:lvlJc w:val="left"/>
      <w:pPr>
        <w:ind w:left="1007" w:hanging="440"/>
      </w:pPr>
      <w:rPr>
        <w:rFonts w:hint="default"/>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60D46261"/>
    <w:multiLevelType w:val="multilevel"/>
    <w:tmpl w:val="60D46261"/>
    <w:lvl w:ilvl="0" w:tentative="0">
      <w:start w:val="1"/>
      <w:numFmt w:val="chineseCountingThousand"/>
      <w:pStyle w:val="2"/>
      <w:suff w:val="nothing"/>
      <w:lvlText w:val="第%1章  "/>
      <w:lvlJc w:val="center"/>
      <w:pPr>
        <w:ind w:left="0" w:firstLine="0"/>
      </w:pPr>
      <w:rPr>
        <w:rFonts w:hint="eastAsia"/>
      </w:rPr>
    </w:lvl>
    <w:lvl w:ilvl="1" w:tentative="0">
      <w:start w:val="1"/>
      <w:numFmt w:val="chineseCountingThousand"/>
      <w:pStyle w:val="3"/>
      <w:suff w:val="nothing"/>
      <w:lvlText w:val="第%2节  "/>
      <w:lvlJc w:val="left"/>
      <w:pPr>
        <w:ind w:left="2553" w:firstLine="0"/>
      </w:pPr>
      <w:rPr>
        <w:rFonts w:hint="eastAsia"/>
      </w:rPr>
    </w:lvl>
    <w:lvl w:ilvl="2" w:tentative="0">
      <w:start w:val="1"/>
      <w:numFmt w:val="chineseCountingThousand"/>
      <w:suff w:val="nothing"/>
      <w:lvlText w:val="（%3）"/>
      <w:lvlJc w:val="left"/>
      <w:pPr>
        <w:ind w:left="0" w:firstLine="567"/>
      </w:pPr>
      <w:rPr>
        <w:rFonts w:hint="eastAsia" w:ascii="Times New Roman" w:hAnsi="Times New Roman" w:eastAsia="宋体" w:cs="Times New Roman"/>
      </w:rPr>
    </w:lvl>
    <w:lvl w:ilvl="3" w:tentative="0">
      <w:start w:val="1"/>
      <w:numFmt w:val="decimal"/>
      <w:pStyle w:val="6"/>
      <w:isLgl/>
      <w:suff w:val="space"/>
      <w:lvlText w:val="%1.%2.%3.%4"/>
      <w:lvlJc w:val="left"/>
      <w:pPr>
        <w:ind w:left="0" w:firstLine="0"/>
      </w:pPr>
      <w:rPr>
        <w:rFonts w:hint="eastAsia" w:ascii="Times New Roman" w:hAnsi="Times New Roman" w:eastAsia="宋体" w:cs="Times New Roman"/>
      </w:rPr>
    </w:lvl>
    <w:lvl w:ilvl="4" w:tentative="0">
      <w:start w:val="1"/>
      <w:numFmt w:val="decimal"/>
      <w:pStyle w:val="7"/>
      <w:isLgl/>
      <w:suff w:val="nothing"/>
      <w:lvlText w:val="（%5）"/>
      <w:lvlJc w:val="left"/>
      <w:pPr>
        <w:ind w:left="0" w:firstLine="454"/>
      </w:pPr>
      <w:rPr>
        <w:rFonts w:hint="eastAsia"/>
      </w:rPr>
    </w:lvl>
    <w:lvl w:ilvl="5" w:tentative="0">
      <w:start w:val="1"/>
      <w:numFmt w:val="decimal"/>
      <w:pStyle w:val="8"/>
      <w:isLgl/>
      <w:suff w:val="nothing"/>
      <w:lvlText w:val="%6）"/>
      <w:lvlJc w:val="left"/>
      <w:pPr>
        <w:ind w:left="0" w:firstLine="454"/>
      </w:pPr>
      <w:rPr>
        <w:rFonts w:hint="eastAsia"/>
      </w:rPr>
    </w:lvl>
    <w:lvl w:ilvl="6" w:tentative="0">
      <w:start w:val="1"/>
      <w:numFmt w:val="decimal"/>
      <w:lvlRestart w:val="0"/>
      <w:pStyle w:val="52"/>
      <w:suff w:val="nothing"/>
      <w:lvlText w:val="专栏%7 "/>
      <w:lvlJc w:val="center"/>
      <w:pPr>
        <w:ind w:left="0" w:firstLine="454"/>
      </w:pPr>
      <w:rPr>
        <w:rFonts w:hint="eastAsia" w:eastAsia="仿宋_GB2312"/>
        <w:sz w:val="28"/>
        <w:szCs w:val="28"/>
      </w:rPr>
    </w:lvl>
    <w:lvl w:ilvl="7" w:tentative="0">
      <w:start w:val="1"/>
      <w:numFmt w:val="decimal"/>
      <w:lvlRestart w:val="1"/>
      <w:pStyle w:val="53"/>
      <w:isLgl/>
      <w:suff w:val="space"/>
      <w:lvlText w:val="表%1-%8"/>
      <w:lvlJc w:val="center"/>
      <w:pPr>
        <w:ind w:left="0" w:firstLine="0"/>
      </w:pPr>
      <w:rPr>
        <w:rFonts w:hint="eastAsia"/>
        <w:lang w:val="en-US"/>
      </w:rPr>
    </w:lvl>
    <w:lvl w:ilvl="8" w:tentative="0">
      <w:start w:val="1"/>
      <w:numFmt w:val="decimal"/>
      <w:lvlRestart w:val="2"/>
      <w:pStyle w:val="54"/>
      <w:isLgl/>
      <w:suff w:val="space"/>
      <w:lvlText w:val="图%1-%2-%9"/>
      <w:lvlJc w:val="center"/>
      <w:pPr>
        <w:ind w:left="0" w:firstLine="0"/>
      </w:pPr>
      <w:rPr>
        <w:rFonts w:hint="eastAsia"/>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evenAndOddHeaders w:val="1"/>
  <w:drawingGridHorizontalSpacing w:val="105"/>
  <w:drawingGridVerticalSpacing w:val="38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lZjdjMjk0MjMwYjk3YjdjYWQ4OThjNGYzMTdlYzAifQ=="/>
  </w:docVars>
  <w:rsids>
    <w:rsidRoot w:val="005B4BC5"/>
    <w:rsid w:val="00002B0B"/>
    <w:rsid w:val="00003023"/>
    <w:rsid w:val="000053E5"/>
    <w:rsid w:val="00005F65"/>
    <w:rsid w:val="00007236"/>
    <w:rsid w:val="00007DCF"/>
    <w:rsid w:val="00010C02"/>
    <w:rsid w:val="00013DF2"/>
    <w:rsid w:val="00015BFE"/>
    <w:rsid w:val="00016211"/>
    <w:rsid w:val="00016212"/>
    <w:rsid w:val="00016475"/>
    <w:rsid w:val="00017429"/>
    <w:rsid w:val="00017AFE"/>
    <w:rsid w:val="0002352A"/>
    <w:rsid w:val="00023DE0"/>
    <w:rsid w:val="00030329"/>
    <w:rsid w:val="0003286C"/>
    <w:rsid w:val="00036EB3"/>
    <w:rsid w:val="00043858"/>
    <w:rsid w:val="00043904"/>
    <w:rsid w:val="000466E1"/>
    <w:rsid w:val="00046CD8"/>
    <w:rsid w:val="0005098A"/>
    <w:rsid w:val="00053A9C"/>
    <w:rsid w:val="00053F3F"/>
    <w:rsid w:val="00057207"/>
    <w:rsid w:val="0006003D"/>
    <w:rsid w:val="000679B4"/>
    <w:rsid w:val="00070278"/>
    <w:rsid w:val="00070FAD"/>
    <w:rsid w:val="00072098"/>
    <w:rsid w:val="0007533D"/>
    <w:rsid w:val="0008325B"/>
    <w:rsid w:val="000833E9"/>
    <w:rsid w:val="00084423"/>
    <w:rsid w:val="000847FB"/>
    <w:rsid w:val="000850AF"/>
    <w:rsid w:val="00086853"/>
    <w:rsid w:val="0009118E"/>
    <w:rsid w:val="00093B50"/>
    <w:rsid w:val="00094058"/>
    <w:rsid w:val="000A0C78"/>
    <w:rsid w:val="000A0F38"/>
    <w:rsid w:val="000A38CD"/>
    <w:rsid w:val="000A53BE"/>
    <w:rsid w:val="000A5451"/>
    <w:rsid w:val="000A57B9"/>
    <w:rsid w:val="000B1B99"/>
    <w:rsid w:val="000B1F8D"/>
    <w:rsid w:val="000B229B"/>
    <w:rsid w:val="000C241F"/>
    <w:rsid w:val="000C3637"/>
    <w:rsid w:val="000C6E65"/>
    <w:rsid w:val="000D003B"/>
    <w:rsid w:val="000D05DA"/>
    <w:rsid w:val="000D07B3"/>
    <w:rsid w:val="000D1FCF"/>
    <w:rsid w:val="000E4C16"/>
    <w:rsid w:val="000E5F90"/>
    <w:rsid w:val="000F0347"/>
    <w:rsid w:val="000F067B"/>
    <w:rsid w:val="000F27EE"/>
    <w:rsid w:val="000F389C"/>
    <w:rsid w:val="000F6272"/>
    <w:rsid w:val="000F793F"/>
    <w:rsid w:val="00100320"/>
    <w:rsid w:val="001014B7"/>
    <w:rsid w:val="00102D52"/>
    <w:rsid w:val="00103496"/>
    <w:rsid w:val="00107C83"/>
    <w:rsid w:val="001124AD"/>
    <w:rsid w:val="0011323E"/>
    <w:rsid w:val="00113393"/>
    <w:rsid w:val="00114D1D"/>
    <w:rsid w:val="00116F83"/>
    <w:rsid w:val="00121E60"/>
    <w:rsid w:val="0012337A"/>
    <w:rsid w:val="001240CE"/>
    <w:rsid w:val="00124C9B"/>
    <w:rsid w:val="001259FC"/>
    <w:rsid w:val="0012767D"/>
    <w:rsid w:val="00127F9E"/>
    <w:rsid w:val="001335B3"/>
    <w:rsid w:val="001347A2"/>
    <w:rsid w:val="00134B99"/>
    <w:rsid w:val="00134E24"/>
    <w:rsid w:val="001415AA"/>
    <w:rsid w:val="0014459E"/>
    <w:rsid w:val="00146439"/>
    <w:rsid w:val="00146568"/>
    <w:rsid w:val="001470E2"/>
    <w:rsid w:val="00151323"/>
    <w:rsid w:val="001531DE"/>
    <w:rsid w:val="00160A87"/>
    <w:rsid w:val="00160E94"/>
    <w:rsid w:val="00161A4F"/>
    <w:rsid w:val="00163C23"/>
    <w:rsid w:val="00165736"/>
    <w:rsid w:val="00170290"/>
    <w:rsid w:val="00170E0A"/>
    <w:rsid w:val="00174AE2"/>
    <w:rsid w:val="0017657E"/>
    <w:rsid w:val="001842C5"/>
    <w:rsid w:val="001915B5"/>
    <w:rsid w:val="0019282D"/>
    <w:rsid w:val="001930D7"/>
    <w:rsid w:val="0019659B"/>
    <w:rsid w:val="001A36DA"/>
    <w:rsid w:val="001A42EB"/>
    <w:rsid w:val="001A46DD"/>
    <w:rsid w:val="001A5AEF"/>
    <w:rsid w:val="001A5DD5"/>
    <w:rsid w:val="001B1417"/>
    <w:rsid w:val="001B2007"/>
    <w:rsid w:val="001B2B78"/>
    <w:rsid w:val="001B34BC"/>
    <w:rsid w:val="001B4423"/>
    <w:rsid w:val="001B54E8"/>
    <w:rsid w:val="001C2288"/>
    <w:rsid w:val="001C5ABB"/>
    <w:rsid w:val="001D0529"/>
    <w:rsid w:val="001D1D73"/>
    <w:rsid w:val="001D2405"/>
    <w:rsid w:val="001D315D"/>
    <w:rsid w:val="001D3CB6"/>
    <w:rsid w:val="001D4902"/>
    <w:rsid w:val="001D50FA"/>
    <w:rsid w:val="001D75A6"/>
    <w:rsid w:val="001E2591"/>
    <w:rsid w:val="001E27FA"/>
    <w:rsid w:val="001F22F4"/>
    <w:rsid w:val="001F3441"/>
    <w:rsid w:val="001F6C43"/>
    <w:rsid w:val="00200062"/>
    <w:rsid w:val="00200786"/>
    <w:rsid w:val="0020306A"/>
    <w:rsid w:val="002033B0"/>
    <w:rsid w:val="0020379B"/>
    <w:rsid w:val="00205038"/>
    <w:rsid w:val="0020669F"/>
    <w:rsid w:val="002066BA"/>
    <w:rsid w:val="002075CC"/>
    <w:rsid w:val="0020790D"/>
    <w:rsid w:val="00212157"/>
    <w:rsid w:val="00212916"/>
    <w:rsid w:val="00213F2F"/>
    <w:rsid w:val="002143E4"/>
    <w:rsid w:val="00231337"/>
    <w:rsid w:val="002327CA"/>
    <w:rsid w:val="00233DBD"/>
    <w:rsid w:val="00234ABF"/>
    <w:rsid w:val="00243056"/>
    <w:rsid w:val="00246A0E"/>
    <w:rsid w:val="002507C9"/>
    <w:rsid w:val="00252067"/>
    <w:rsid w:val="00253E18"/>
    <w:rsid w:val="00256806"/>
    <w:rsid w:val="00257950"/>
    <w:rsid w:val="0026197D"/>
    <w:rsid w:val="00263240"/>
    <w:rsid w:val="00264DC7"/>
    <w:rsid w:val="00264FBE"/>
    <w:rsid w:val="00265A2D"/>
    <w:rsid w:val="0027270C"/>
    <w:rsid w:val="00276163"/>
    <w:rsid w:val="00276CCC"/>
    <w:rsid w:val="00281EFB"/>
    <w:rsid w:val="00285337"/>
    <w:rsid w:val="00286DAD"/>
    <w:rsid w:val="0029132C"/>
    <w:rsid w:val="00294187"/>
    <w:rsid w:val="00295796"/>
    <w:rsid w:val="002A4701"/>
    <w:rsid w:val="002A7E72"/>
    <w:rsid w:val="002B04FE"/>
    <w:rsid w:val="002B05DA"/>
    <w:rsid w:val="002B25F2"/>
    <w:rsid w:val="002B5D56"/>
    <w:rsid w:val="002B780B"/>
    <w:rsid w:val="002C512B"/>
    <w:rsid w:val="002C549A"/>
    <w:rsid w:val="002C7F98"/>
    <w:rsid w:val="002D0BFA"/>
    <w:rsid w:val="002D2B5C"/>
    <w:rsid w:val="002D387F"/>
    <w:rsid w:val="002D71A7"/>
    <w:rsid w:val="002E13C8"/>
    <w:rsid w:val="002E31C9"/>
    <w:rsid w:val="002E3284"/>
    <w:rsid w:val="002E37A5"/>
    <w:rsid w:val="002E3CD5"/>
    <w:rsid w:val="002E757D"/>
    <w:rsid w:val="002F0002"/>
    <w:rsid w:val="002F06E0"/>
    <w:rsid w:val="002F26C7"/>
    <w:rsid w:val="002F5838"/>
    <w:rsid w:val="002F6D10"/>
    <w:rsid w:val="002F6F8B"/>
    <w:rsid w:val="002F75EC"/>
    <w:rsid w:val="002F77E2"/>
    <w:rsid w:val="002F7DAC"/>
    <w:rsid w:val="00300172"/>
    <w:rsid w:val="003038CD"/>
    <w:rsid w:val="00305811"/>
    <w:rsid w:val="003058CE"/>
    <w:rsid w:val="00305926"/>
    <w:rsid w:val="00307E02"/>
    <w:rsid w:val="003105D5"/>
    <w:rsid w:val="00310D60"/>
    <w:rsid w:val="00311701"/>
    <w:rsid w:val="00317283"/>
    <w:rsid w:val="00320A77"/>
    <w:rsid w:val="00320EA2"/>
    <w:rsid w:val="003213D1"/>
    <w:rsid w:val="00323122"/>
    <w:rsid w:val="00333A19"/>
    <w:rsid w:val="00333E23"/>
    <w:rsid w:val="00336337"/>
    <w:rsid w:val="00336A80"/>
    <w:rsid w:val="00336E5D"/>
    <w:rsid w:val="00341E6F"/>
    <w:rsid w:val="0034405C"/>
    <w:rsid w:val="00345776"/>
    <w:rsid w:val="00347991"/>
    <w:rsid w:val="00347E92"/>
    <w:rsid w:val="00350483"/>
    <w:rsid w:val="00350DD9"/>
    <w:rsid w:val="00351719"/>
    <w:rsid w:val="00351CEA"/>
    <w:rsid w:val="003522BD"/>
    <w:rsid w:val="0035267B"/>
    <w:rsid w:val="00352708"/>
    <w:rsid w:val="00352860"/>
    <w:rsid w:val="00355F67"/>
    <w:rsid w:val="00356DE0"/>
    <w:rsid w:val="00356F43"/>
    <w:rsid w:val="00361EF2"/>
    <w:rsid w:val="00364038"/>
    <w:rsid w:val="003656C3"/>
    <w:rsid w:val="00367A93"/>
    <w:rsid w:val="00370107"/>
    <w:rsid w:val="00371548"/>
    <w:rsid w:val="00376A60"/>
    <w:rsid w:val="00376DE1"/>
    <w:rsid w:val="003771E6"/>
    <w:rsid w:val="0037749C"/>
    <w:rsid w:val="00377F09"/>
    <w:rsid w:val="00380891"/>
    <w:rsid w:val="00383696"/>
    <w:rsid w:val="003844F3"/>
    <w:rsid w:val="00384BDF"/>
    <w:rsid w:val="003869F4"/>
    <w:rsid w:val="00386B0F"/>
    <w:rsid w:val="00386E6C"/>
    <w:rsid w:val="00391F82"/>
    <w:rsid w:val="00393232"/>
    <w:rsid w:val="00393B39"/>
    <w:rsid w:val="00395FEE"/>
    <w:rsid w:val="003B1A95"/>
    <w:rsid w:val="003B42F6"/>
    <w:rsid w:val="003B4479"/>
    <w:rsid w:val="003B4F6E"/>
    <w:rsid w:val="003C04F3"/>
    <w:rsid w:val="003C33B3"/>
    <w:rsid w:val="003C6B0A"/>
    <w:rsid w:val="003D25EF"/>
    <w:rsid w:val="003D4293"/>
    <w:rsid w:val="003D6D2F"/>
    <w:rsid w:val="003E3093"/>
    <w:rsid w:val="003E3C94"/>
    <w:rsid w:val="003E5980"/>
    <w:rsid w:val="003E6A60"/>
    <w:rsid w:val="003E6E13"/>
    <w:rsid w:val="003E7487"/>
    <w:rsid w:val="003F0FB5"/>
    <w:rsid w:val="003F1933"/>
    <w:rsid w:val="003F2729"/>
    <w:rsid w:val="003F3846"/>
    <w:rsid w:val="003F6D1D"/>
    <w:rsid w:val="003F7FB4"/>
    <w:rsid w:val="00405850"/>
    <w:rsid w:val="004069DF"/>
    <w:rsid w:val="00410CE2"/>
    <w:rsid w:val="00411231"/>
    <w:rsid w:val="00412BBA"/>
    <w:rsid w:val="00415859"/>
    <w:rsid w:val="00416D39"/>
    <w:rsid w:val="00416E1D"/>
    <w:rsid w:val="0041747E"/>
    <w:rsid w:val="00417C77"/>
    <w:rsid w:val="004200F6"/>
    <w:rsid w:val="00421808"/>
    <w:rsid w:val="00422B52"/>
    <w:rsid w:val="00423D7A"/>
    <w:rsid w:val="00427FD8"/>
    <w:rsid w:val="00431A5A"/>
    <w:rsid w:val="00432F48"/>
    <w:rsid w:val="00436441"/>
    <w:rsid w:val="00436B48"/>
    <w:rsid w:val="0044241F"/>
    <w:rsid w:val="00444579"/>
    <w:rsid w:val="00444D5A"/>
    <w:rsid w:val="00447556"/>
    <w:rsid w:val="00450A9D"/>
    <w:rsid w:val="00451F92"/>
    <w:rsid w:val="00461459"/>
    <w:rsid w:val="00466ADC"/>
    <w:rsid w:val="004675CC"/>
    <w:rsid w:val="00471666"/>
    <w:rsid w:val="00471FDC"/>
    <w:rsid w:val="0047572C"/>
    <w:rsid w:val="004758EE"/>
    <w:rsid w:val="0048003A"/>
    <w:rsid w:val="004835E7"/>
    <w:rsid w:val="0048484A"/>
    <w:rsid w:val="0049048E"/>
    <w:rsid w:val="00493CBE"/>
    <w:rsid w:val="004962E5"/>
    <w:rsid w:val="004A2559"/>
    <w:rsid w:val="004A469C"/>
    <w:rsid w:val="004A6E44"/>
    <w:rsid w:val="004B08CD"/>
    <w:rsid w:val="004B5B76"/>
    <w:rsid w:val="004B69AC"/>
    <w:rsid w:val="004B6CF6"/>
    <w:rsid w:val="004C1B8B"/>
    <w:rsid w:val="004C3350"/>
    <w:rsid w:val="004C3FC2"/>
    <w:rsid w:val="004D140B"/>
    <w:rsid w:val="004D1654"/>
    <w:rsid w:val="004D1A53"/>
    <w:rsid w:val="004D5C97"/>
    <w:rsid w:val="004D5EDD"/>
    <w:rsid w:val="004D6324"/>
    <w:rsid w:val="004D7251"/>
    <w:rsid w:val="004D786A"/>
    <w:rsid w:val="004D7BFA"/>
    <w:rsid w:val="004E0943"/>
    <w:rsid w:val="004E3E95"/>
    <w:rsid w:val="004E4C23"/>
    <w:rsid w:val="004E5205"/>
    <w:rsid w:val="004E5278"/>
    <w:rsid w:val="004E57DA"/>
    <w:rsid w:val="004E6487"/>
    <w:rsid w:val="004E6688"/>
    <w:rsid w:val="004F1871"/>
    <w:rsid w:val="004F193E"/>
    <w:rsid w:val="004F28B1"/>
    <w:rsid w:val="004F361B"/>
    <w:rsid w:val="004F4511"/>
    <w:rsid w:val="004F5CEF"/>
    <w:rsid w:val="004F634A"/>
    <w:rsid w:val="005019BE"/>
    <w:rsid w:val="0050402A"/>
    <w:rsid w:val="00504B8E"/>
    <w:rsid w:val="00507268"/>
    <w:rsid w:val="00512B4C"/>
    <w:rsid w:val="00515E8D"/>
    <w:rsid w:val="00515FDF"/>
    <w:rsid w:val="005216FA"/>
    <w:rsid w:val="00523D2A"/>
    <w:rsid w:val="0052619C"/>
    <w:rsid w:val="00526962"/>
    <w:rsid w:val="00526A71"/>
    <w:rsid w:val="0053384D"/>
    <w:rsid w:val="00533EAF"/>
    <w:rsid w:val="00541A47"/>
    <w:rsid w:val="0054330F"/>
    <w:rsid w:val="00544693"/>
    <w:rsid w:val="00547FC7"/>
    <w:rsid w:val="00554ECF"/>
    <w:rsid w:val="005554A7"/>
    <w:rsid w:val="0056019E"/>
    <w:rsid w:val="00563439"/>
    <w:rsid w:val="005654C4"/>
    <w:rsid w:val="005663AA"/>
    <w:rsid w:val="0056772D"/>
    <w:rsid w:val="00567F44"/>
    <w:rsid w:val="0057456C"/>
    <w:rsid w:val="00580FC6"/>
    <w:rsid w:val="00584939"/>
    <w:rsid w:val="0058623B"/>
    <w:rsid w:val="00590397"/>
    <w:rsid w:val="0059153F"/>
    <w:rsid w:val="0059360C"/>
    <w:rsid w:val="00594C8D"/>
    <w:rsid w:val="00597F46"/>
    <w:rsid w:val="005A1690"/>
    <w:rsid w:val="005A19D3"/>
    <w:rsid w:val="005A29D6"/>
    <w:rsid w:val="005A336D"/>
    <w:rsid w:val="005A4E74"/>
    <w:rsid w:val="005A6D28"/>
    <w:rsid w:val="005A7C5D"/>
    <w:rsid w:val="005B0CEB"/>
    <w:rsid w:val="005B4130"/>
    <w:rsid w:val="005B4BC5"/>
    <w:rsid w:val="005B68BF"/>
    <w:rsid w:val="005B6CD5"/>
    <w:rsid w:val="005C3597"/>
    <w:rsid w:val="005C5D0C"/>
    <w:rsid w:val="005C5F2C"/>
    <w:rsid w:val="005C7B4E"/>
    <w:rsid w:val="005D3C24"/>
    <w:rsid w:val="005D68B6"/>
    <w:rsid w:val="005D6D26"/>
    <w:rsid w:val="005F3182"/>
    <w:rsid w:val="005F4A49"/>
    <w:rsid w:val="005F6C3B"/>
    <w:rsid w:val="0060014C"/>
    <w:rsid w:val="00602C63"/>
    <w:rsid w:val="0060367B"/>
    <w:rsid w:val="0060462C"/>
    <w:rsid w:val="00606FB3"/>
    <w:rsid w:val="00611757"/>
    <w:rsid w:val="00611A04"/>
    <w:rsid w:val="0061631C"/>
    <w:rsid w:val="00621B02"/>
    <w:rsid w:val="00622BA9"/>
    <w:rsid w:val="00622D33"/>
    <w:rsid w:val="0062388F"/>
    <w:rsid w:val="00624EBC"/>
    <w:rsid w:val="0062625A"/>
    <w:rsid w:val="00626741"/>
    <w:rsid w:val="00626B4F"/>
    <w:rsid w:val="00631F6F"/>
    <w:rsid w:val="00634B3D"/>
    <w:rsid w:val="00635DFA"/>
    <w:rsid w:val="00636A19"/>
    <w:rsid w:val="00637476"/>
    <w:rsid w:val="00637CFA"/>
    <w:rsid w:val="00644F00"/>
    <w:rsid w:val="00645802"/>
    <w:rsid w:val="00646A13"/>
    <w:rsid w:val="006471FE"/>
    <w:rsid w:val="0064746A"/>
    <w:rsid w:val="00647B56"/>
    <w:rsid w:val="006517EA"/>
    <w:rsid w:val="006537F9"/>
    <w:rsid w:val="0065499B"/>
    <w:rsid w:val="006668AF"/>
    <w:rsid w:val="006669B7"/>
    <w:rsid w:val="00672A6A"/>
    <w:rsid w:val="00674AE5"/>
    <w:rsid w:val="006848EE"/>
    <w:rsid w:val="006849F4"/>
    <w:rsid w:val="00684BBF"/>
    <w:rsid w:val="00686052"/>
    <w:rsid w:val="00690A6E"/>
    <w:rsid w:val="00691A46"/>
    <w:rsid w:val="00691CD0"/>
    <w:rsid w:val="0069431F"/>
    <w:rsid w:val="006954B8"/>
    <w:rsid w:val="00697190"/>
    <w:rsid w:val="006A1613"/>
    <w:rsid w:val="006A28B0"/>
    <w:rsid w:val="006A562D"/>
    <w:rsid w:val="006A60F2"/>
    <w:rsid w:val="006A63DC"/>
    <w:rsid w:val="006A6AE6"/>
    <w:rsid w:val="006A704D"/>
    <w:rsid w:val="006B258A"/>
    <w:rsid w:val="006B2B06"/>
    <w:rsid w:val="006B2D12"/>
    <w:rsid w:val="006B334D"/>
    <w:rsid w:val="006B6A86"/>
    <w:rsid w:val="006C5373"/>
    <w:rsid w:val="006C71E8"/>
    <w:rsid w:val="006C7463"/>
    <w:rsid w:val="006D04AE"/>
    <w:rsid w:val="006D3B36"/>
    <w:rsid w:val="006D48C4"/>
    <w:rsid w:val="006D4A19"/>
    <w:rsid w:val="006D4EBB"/>
    <w:rsid w:val="006D59AE"/>
    <w:rsid w:val="006D6FDF"/>
    <w:rsid w:val="006E4D07"/>
    <w:rsid w:val="006E6783"/>
    <w:rsid w:val="006E6A39"/>
    <w:rsid w:val="006F1293"/>
    <w:rsid w:val="006F234E"/>
    <w:rsid w:val="006F4CA6"/>
    <w:rsid w:val="0070035C"/>
    <w:rsid w:val="007010B0"/>
    <w:rsid w:val="00703CBB"/>
    <w:rsid w:val="00704195"/>
    <w:rsid w:val="00706B2E"/>
    <w:rsid w:val="0071542D"/>
    <w:rsid w:val="00715ADE"/>
    <w:rsid w:val="00715C46"/>
    <w:rsid w:val="0071722F"/>
    <w:rsid w:val="007226A9"/>
    <w:rsid w:val="00722C27"/>
    <w:rsid w:val="00723B67"/>
    <w:rsid w:val="0072545B"/>
    <w:rsid w:val="00727F6D"/>
    <w:rsid w:val="00730683"/>
    <w:rsid w:val="00732892"/>
    <w:rsid w:val="007336A0"/>
    <w:rsid w:val="007341BC"/>
    <w:rsid w:val="00734817"/>
    <w:rsid w:val="00734B5F"/>
    <w:rsid w:val="00734E6D"/>
    <w:rsid w:val="00735F3B"/>
    <w:rsid w:val="00736480"/>
    <w:rsid w:val="00736BDB"/>
    <w:rsid w:val="00737859"/>
    <w:rsid w:val="00741DD0"/>
    <w:rsid w:val="00743D5B"/>
    <w:rsid w:val="007452A2"/>
    <w:rsid w:val="0074602B"/>
    <w:rsid w:val="00746F90"/>
    <w:rsid w:val="0075294A"/>
    <w:rsid w:val="0076073C"/>
    <w:rsid w:val="007624A1"/>
    <w:rsid w:val="00764CF9"/>
    <w:rsid w:val="007652F1"/>
    <w:rsid w:val="00766C0D"/>
    <w:rsid w:val="007706E7"/>
    <w:rsid w:val="00770F89"/>
    <w:rsid w:val="00772772"/>
    <w:rsid w:val="0077306E"/>
    <w:rsid w:val="00774A16"/>
    <w:rsid w:val="00774A4D"/>
    <w:rsid w:val="007824EB"/>
    <w:rsid w:val="0078351F"/>
    <w:rsid w:val="00785B5E"/>
    <w:rsid w:val="00790A77"/>
    <w:rsid w:val="00791AA2"/>
    <w:rsid w:val="00791EFF"/>
    <w:rsid w:val="00792344"/>
    <w:rsid w:val="00792A7D"/>
    <w:rsid w:val="0079325F"/>
    <w:rsid w:val="0079337D"/>
    <w:rsid w:val="007934D8"/>
    <w:rsid w:val="0079382A"/>
    <w:rsid w:val="00793D15"/>
    <w:rsid w:val="007A0841"/>
    <w:rsid w:val="007A3C96"/>
    <w:rsid w:val="007A4187"/>
    <w:rsid w:val="007A4E5A"/>
    <w:rsid w:val="007A693C"/>
    <w:rsid w:val="007B0CE9"/>
    <w:rsid w:val="007B13B3"/>
    <w:rsid w:val="007B229A"/>
    <w:rsid w:val="007B299E"/>
    <w:rsid w:val="007B3F7E"/>
    <w:rsid w:val="007B6C4A"/>
    <w:rsid w:val="007C2ECF"/>
    <w:rsid w:val="007C6F28"/>
    <w:rsid w:val="007D1283"/>
    <w:rsid w:val="007D367E"/>
    <w:rsid w:val="007D5592"/>
    <w:rsid w:val="007E1E99"/>
    <w:rsid w:val="007E3309"/>
    <w:rsid w:val="007E38D9"/>
    <w:rsid w:val="007E3DD8"/>
    <w:rsid w:val="007E5FE1"/>
    <w:rsid w:val="007E6A4D"/>
    <w:rsid w:val="007E6FDE"/>
    <w:rsid w:val="007F0700"/>
    <w:rsid w:val="007F12A6"/>
    <w:rsid w:val="007F2DE5"/>
    <w:rsid w:val="007F39E4"/>
    <w:rsid w:val="007F507B"/>
    <w:rsid w:val="007F6548"/>
    <w:rsid w:val="007F75A3"/>
    <w:rsid w:val="007F78FF"/>
    <w:rsid w:val="008000A5"/>
    <w:rsid w:val="008036C0"/>
    <w:rsid w:val="00803808"/>
    <w:rsid w:val="00804601"/>
    <w:rsid w:val="00804E70"/>
    <w:rsid w:val="008074B3"/>
    <w:rsid w:val="0081057F"/>
    <w:rsid w:val="00810BDD"/>
    <w:rsid w:val="00814A10"/>
    <w:rsid w:val="00815696"/>
    <w:rsid w:val="00816469"/>
    <w:rsid w:val="00816C54"/>
    <w:rsid w:val="00822BBC"/>
    <w:rsid w:val="008233B7"/>
    <w:rsid w:val="00824BB0"/>
    <w:rsid w:val="00826261"/>
    <w:rsid w:val="00827FD7"/>
    <w:rsid w:val="0083112C"/>
    <w:rsid w:val="008318E5"/>
    <w:rsid w:val="00834A07"/>
    <w:rsid w:val="00834B16"/>
    <w:rsid w:val="008357AE"/>
    <w:rsid w:val="00836BA7"/>
    <w:rsid w:val="008373E0"/>
    <w:rsid w:val="0084324B"/>
    <w:rsid w:val="00844321"/>
    <w:rsid w:val="00845E75"/>
    <w:rsid w:val="008467D7"/>
    <w:rsid w:val="008516C7"/>
    <w:rsid w:val="00853683"/>
    <w:rsid w:val="008576A0"/>
    <w:rsid w:val="00866308"/>
    <w:rsid w:val="008664D6"/>
    <w:rsid w:val="00866E2D"/>
    <w:rsid w:val="00867864"/>
    <w:rsid w:val="008703E7"/>
    <w:rsid w:val="00870769"/>
    <w:rsid w:val="0087192F"/>
    <w:rsid w:val="008722BE"/>
    <w:rsid w:val="008740EA"/>
    <w:rsid w:val="0087480D"/>
    <w:rsid w:val="00874D2B"/>
    <w:rsid w:val="00875A32"/>
    <w:rsid w:val="00881450"/>
    <w:rsid w:val="00881807"/>
    <w:rsid w:val="00884B98"/>
    <w:rsid w:val="00884D0C"/>
    <w:rsid w:val="00884E1C"/>
    <w:rsid w:val="00886EF3"/>
    <w:rsid w:val="00890220"/>
    <w:rsid w:val="0089031D"/>
    <w:rsid w:val="008924DD"/>
    <w:rsid w:val="00892B55"/>
    <w:rsid w:val="008A0536"/>
    <w:rsid w:val="008A432F"/>
    <w:rsid w:val="008A43C8"/>
    <w:rsid w:val="008B1426"/>
    <w:rsid w:val="008B1527"/>
    <w:rsid w:val="008B2C4C"/>
    <w:rsid w:val="008B4CD2"/>
    <w:rsid w:val="008B7723"/>
    <w:rsid w:val="008C02E5"/>
    <w:rsid w:val="008C0CD3"/>
    <w:rsid w:val="008C0DEB"/>
    <w:rsid w:val="008C104C"/>
    <w:rsid w:val="008C3D39"/>
    <w:rsid w:val="008C7F98"/>
    <w:rsid w:val="008D32C0"/>
    <w:rsid w:val="008D3A7F"/>
    <w:rsid w:val="008D51C3"/>
    <w:rsid w:val="008D64E5"/>
    <w:rsid w:val="008D6A02"/>
    <w:rsid w:val="008D7049"/>
    <w:rsid w:val="008D70F4"/>
    <w:rsid w:val="008E0599"/>
    <w:rsid w:val="008E0973"/>
    <w:rsid w:val="008E0D88"/>
    <w:rsid w:val="008E13CF"/>
    <w:rsid w:val="008E43CB"/>
    <w:rsid w:val="008E5CCA"/>
    <w:rsid w:val="008F5A54"/>
    <w:rsid w:val="008F796D"/>
    <w:rsid w:val="008F7E87"/>
    <w:rsid w:val="00900E5E"/>
    <w:rsid w:val="0090246D"/>
    <w:rsid w:val="00902EE3"/>
    <w:rsid w:val="00903E1B"/>
    <w:rsid w:val="00904C15"/>
    <w:rsid w:val="00906072"/>
    <w:rsid w:val="00907C21"/>
    <w:rsid w:val="009119AA"/>
    <w:rsid w:val="00911F4E"/>
    <w:rsid w:val="00911FCE"/>
    <w:rsid w:val="009153E5"/>
    <w:rsid w:val="00915BEE"/>
    <w:rsid w:val="009207B9"/>
    <w:rsid w:val="00920CCF"/>
    <w:rsid w:val="00921B7B"/>
    <w:rsid w:val="00922C0E"/>
    <w:rsid w:val="00924961"/>
    <w:rsid w:val="0092506E"/>
    <w:rsid w:val="0092634F"/>
    <w:rsid w:val="00927ACE"/>
    <w:rsid w:val="0093088F"/>
    <w:rsid w:val="00931307"/>
    <w:rsid w:val="00940E0B"/>
    <w:rsid w:val="00941761"/>
    <w:rsid w:val="0094179B"/>
    <w:rsid w:val="00942D9F"/>
    <w:rsid w:val="00947DE1"/>
    <w:rsid w:val="00950B06"/>
    <w:rsid w:val="0095133F"/>
    <w:rsid w:val="00953B9A"/>
    <w:rsid w:val="00954849"/>
    <w:rsid w:val="00963424"/>
    <w:rsid w:val="00963717"/>
    <w:rsid w:val="00964D63"/>
    <w:rsid w:val="00970454"/>
    <w:rsid w:val="009705A2"/>
    <w:rsid w:val="00976D6F"/>
    <w:rsid w:val="0098085D"/>
    <w:rsid w:val="009812CF"/>
    <w:rsid w:val="00981D0C"/>
    <w:rsid w:val="009932CC"/>
    <w:rsid w:val="00994F96"/>
    <w:rsid w:val="00995467"/>
    <w:rsid w:val="00996352"/>
    <w:rsid w:val="009A0559"/>
    <w:rsid w:val="009A1215"/>
    <w:rsid w:val="009A1243"/>
    <w:rsid w:val="009A367A"/>
    <w:rsid w:val="009A5998"/>
    <w:rsid w:val="009B1140"/>
    <w:rsid w:val="009B5279"/>
    <w:rsid w:val="009B786F"/>
    <w:rsid w:val="009D11D4"/>
    <w:rsid w:val="009D14DC"/>
    <w:rsid w:val="009D5F9F"/>
    <w:rsid w:val="009D69DC"/>
    <w:rsid w:val="009D6E5E"/>
    <w:rsid w:val="009D7BFE"/>
    <w:rsid w:val="009E172A"/>
    <w:rsid w:val="009E1B06"/>
    <w:rsid w:val="009E3E24"/>
    <w:rsid w:val="009E5A1F"/>
    <w:rsid w:val="009F0A36"/>
    <w:rsid w:val="009F196D"/>
    <w:rsid w:val="009F65FE"/>
    <w:rsid w:val="009F6B6A"/>
    <w:rsid w:val="009F75DC"/>
    <w:rsid w:val="00A00461"/>
    <w:rsid w:val="00A0052E"/>
    <w:rsid w:val="00A017C5"/>
    <w:rsid w:val="00A01E22"/>
    <w:rsid w:val="00A032B4"/>
    <w:rsid w:val="00A03E55"/>
    <w:rsid w:val="00A05AB4"/>
    <w:rsid w:val="00A063A6"/>
    <w:rsid w:val="00A06888"/>
    <w:rsid w:val="00A151CE"/>
    <w:rsid w:val="00A154EE"/>
    <w:rsid w:val="00A26A05"/>
    <w:rsid w:val="00A3393A"/>
    <w:rsid w:val="00A4000E"/>
    <w:rsid w:val="00A41F09"/>
    <w:rsid w:val="00A42B64"/>
    <w:rsid w:val="00A44451"/>
    <w:rsid w:val="00A46A91"/>
    <w:rsid w:val="00A475E8"/>
    <w:rsid w:val="00A476E7"/>
    <w:rsid w:val="00A5365B"/>
    <w:rsid w:val="00A53989"/>
    <w:rsid w:val="00A5426F"/>
    <w:rsid w:val="00A627A0"/>
    <w:rsid w:val="00A63BEC"/>
    <w:rsid w:val="00A66C1A"/>
    <w:rsid w:val="00A80603"/>
    <w:rsid w:val="00A82173"/>
    <w:rsid w:val="00A82296"/>
    <w:rsid w:val="00A82957"/>
    <w:rsid w:val="00A8354C"/>
    <w:rsid w:val="00A8520C"/>
    <w:rsid w:val="00A91005"/>
    <w:rsid w:val="00A91816"/>
    <w:rsid w:val="00A93DB0"/>
    <w:rsid w:val="00A951E9"/>
    <w:rsid w:val="00A973EF"/>
    <w:rsid w:val="00AA5D33"/>
    <w:rsid w:val="00AA6F1D"/>
    <w:rsid w:val="00AA7DE3"/>
    <w:rsid w:val="00AB0368"/>
    <w:rsid w:val="00AB24AD"/>
    <w:rsid w:val="00AB3F3E"/>
    <w:rsid w:val="00AB6585"/>
    <w:rsid w:val="00AC0AAF"/>
    <w:rsid w:val="00AC3023"/>
    <w:rsid w:val="00AC3542"/>
    <w:rsid w:val="00AC3C7D"/>
    <w:rsid w:val="00AC4C46"/>
    <w:rsid w:val="00AD0BA7"/>
    <w:rsid w:val="00AD1C16"/>
    <w:rsid w:val="00AD60BD"/>
    <w:rsid w:val="00AD67DF"/>
    <w:rsid w:val="00AE2E1D"/>
    <w:rsid w:val="00AE3BCF"/>
    <w:rsid w:val="00AE4442"/>
    <w:rsid w:val="00AE49AB"/>
    <w:rsid w:val="00AE5B2B"/>
    <w:rsid w:val="00AE7196"/>
    <w:rsid w:val="00AE762E"/>
    <w:rsid w:val="00AE7EC2"/>
    <w:rsid w:val="00AF2607"/>
    <w:rsid w:val="00AF3CE9"/>
    <w:rsid w:val="00AF5E21"/>
    <w:rsid w:val="00AF5F6D"/>
    <w:rsid w:val="00AF6716"/>
    <w:rsid w:val="00B00115"/>
    <w:rsid w:val="00B0527B"/>
    <w:rsid w:val="00B05946"/>
    <w:rsid w:val="00B10C72"/>
    <w:rsid w:val="00B1145A"/>
    <w:rsid w:val="00B11B0C"/>
    <w:rsid w:val="00B1596D"/>
    <w:rsid w:val="00B16916"/>
    <w:rsid w:val="00B20A9A"/>
    <w:rsid w:val="00B2188C"/>
    <w:rsid w:val="00B218ED"/>
    <w:rsid w:val="00B220AC"/>
    <w:rsid w:val="00B267D8"/>
    <w:rsid w:val="00B27DB6"/>
    <w:rsid w:val="00B27EE3"/>
    <w:rsid w:val="00B32854"/>
    <w:rsid w:val="00B344FD"/>
    <w:rsid w:val="00B34AD8"/>
    <w:rsid w:val="00B35328"/>
    <w:rsid w:val="00B37E35"/>
    <w:rsid w:val="00B40B37"/>
    <w:rsid w:val="00B4150E"/>
    <w:rsid w:val="00B41A25"/>
    <w:rsid w:val="00B46135"/>
    <w:rsid w:val="00B46739"/>
    <w:rsid w:val="00B479CB"/>
    <w:rsid w:val="00B516CF"/>
    <w:rsid w:val="00B5268C"/>
    <w:rsid w:val="00B53B89"/>
    <w:rsid w:val="00B559E3"/>
    <w:rsid w:val="00B55FF7"/>
    <w:rsid w:val="00B56893"/>
    <w:rsid w:val="00B62614"/>
    <w:rsid w:val="00B6400E"/>
    <w:rsid w:val="00B642B2"/>
    <w:rsid w:val="00B655B7"/>
    <w:rsid w:val="00B66C31"/>
    <w:rsid w:val="00B70753"/>
    <w:rsid w:val="00B71F9C"/>
    <w:rsid w:val="00B750BB"/>
    <w:rsid w:val="00B80479"/>
    <w:rsid w:val="00B8221C"/>
    <w:rsid w:val="00B8488E"/>
    <w:rsid w:val="00B85372"/>
    <w:rsid w:val="00B86A3C"/>
    <w:rsid w:val="00B95960"/>
    <w:rsid w:val="00B97D26"/>
    <w:rsid w:val="00BA04EC"/>
    <w:rsid w:val="00BA0D79"/>
    <w:rsid w:val="00BA4BEA"/>
    <w:rsid w:val="00BA4E46"/>
    <w:rsid w:val="00BA58F6"/>
    <w:rsid w:val="00BB0CE5"/>
    <w:rsid w:val="00BB0FC9"/>
    <w:rsid w:val="00BB68BE"/>
    <w:rsid w:val="00BB6F2B"/>
    <w:rsid w:val="00BB7974"/>
    <w:rsid w:val="00BC13DF"/>
    <w:rsid w:val="00BC14B0"/>
    <w:rsid w:val="00BC1C64"/>
    <w:rsid w:val="00BC1E5D"/>
    <w:rsid w:val="00BC24BA"/>
    <w:rsid w:val="00BC3E57"/>
    <w:rsid w:val="00BD12E4"/>
    <w:rsid w:val="00BE054E"/>
    <w:rsid w:val="00BE4F99"/>
    <w:rsid w:val="00BF187F"/>
    <w:rsid w:val="00BF28E7"/>
    <w:rsid w:val="00BF5AF5"/>
    <w:rsid w:val="00BF62DA"/>
    <w:rsid w:val="00C003D0"/>
    <w:rsid w:val="00C04BAF"/>
    <w:rsid w:val="00C11488"/>
    <w:rsid w:val="00C12654"/>
    <w:rsid w:val="00C12DE3"/>
    <w:rsid w:val="00C1458D"/>
    <w:rsid w:val="00C1504A"/>
    <w:rsid w:val="00C1504D"/>
    <w:rsid w:val="00C20AD9"/>
    <w:rsid w:val="00C20B02"/>
    <w:rsid w:val="00C212B2"/>
    <w:rsid w:val="00C22ABA"/>
    <w:rsid w:val="00C23205"/>
    <w:rsid w:val="00C24468"/>
    <w:rsid w:val="00C24DBD"/>
    <w:rsid w:val="00C2593A"/>
    <w:rsid w:val="00C3037F"/>
    <w:rsid w:val="00C30E97"/>
    <w:rsid w:val="00C32D7E"/>
    <w:rsid w:val="00C34626"/>
    <w:rsid w:val="00C36C0B"/>
    <w:rsid w:val="00C376ED"/>
    <w:rsid w:val="00C44486"/>
    <w:rsid w:val="00C44F07"/>
    <w:rsid w:val="00C45768"/>
    <w:rsid w:val="00C4610A"/>
    <w:rsid w:val="00C4627A"/>
    <w:rsid w:val="00C5362B"/>
    <w:rsid w:val="00C55413"/>
    <w:rsid w:val="00C5589A"/>
    <w:rsid w:val="00C562B3"/>
    <w:rsid w:val="00C56A7B"/>
    <w:rsid w:val="00C57C81"/>
    <w:rsid w:val="00C604ED"/>
    <w:rsid w:val="00C60846"/>
    <w:rsid w:val="00C61482"/>
    <w:rsid w:val="00C62583"/>
    <w:rsid w:val="00C64BE8"/>
    <w:rsid w:val="00C64EF4"/>
    <w:rsid w:val="00C65783"/>
    <w:rsid w:val="00C71E5C"/>
    <w:rsid w:val="00C7257A"/>
    <w:rsid w:val="00C733EB"/>
    <w:rsid w:val="00C73B99"/>
    <w:rsid w:val="00C753E7"/>
    <w:rsid w:val="00C771EE"/>
    <w:rsid w:val="00C77BA1"/>
    <w:rsid w:val="00C8085E"/>
    <w:rsid w:val="00C80D74"/>
    <w:rsid w:val="00C81021"/>
    <w:rsid w:val="00C82254"/>
    <w:rsid w:val="00C84772"/>
    <w:rsid w:val="00C847CD"/>
    <w:rsid w:val="00C85F47"/>
    <w:rsid w:val="00C87402"/>
    <w:rsid w:val="00C915AB"/>
    <w:rsid w:val="00C91708"/>
    <w:rsid w:val="00C96652"/>
    <w:rsid w:val="00C97959"/>
    <w:rsid w:val="00CA1279"/>
    <w:rsid w:val="00CA146A"/>
    <w:rsid w:val="00CA1634"/>
    <w:rsid w:val="00CB4733"/>
    <w:rsid w:val="00CB71C6"/>
    <w:rsid w:val="00CC0B2B"/>
    <w:rsid w:val="00CC358C"/>
    <w:rsid w:val="00CC4A8D"/>
    <w:rsid w:val="00CC5D98"/>
    <w:rsid w:val="00CD1054"/>
    <w:rsid w:val="00CD3A77"/>
    <w:rsid w:val="00CD47BC"/>
    <w:rsid w:val="00CD639D"/>
    <w:rsid w:val="00CD7EB7"/>
    <w:rsid w:val="00CE04D4"/>
    <w:rsid w:val="00CE0AA8"/>
    <w:rsid w:val="00CE1141"/>
    <w:rsid w:val="00CE18E0"/>
    <w:rsid w:val="00CE42D2"/>
    <w:rsid w:val="00CE5788"/>
    <w:rsid w:val="00CE6972"/>
    <w:rsid w:val="00CE7ED5"/>
    <w:rsid w:val="00CF0B95"/>
    <w:rsid w:val="00CF119F"/>
    <w:rsid w:val="00CF4128"/>
    <w:rsid w:val="00CF65E2"/>
    <w:rsid w:val="00CF66C4"/>
    <w:rsid w:val="00CF6A0A"/>
    <w:rsid w:val="00D00005"/>
    <w:rsid w:val="00D066B2"/>
    <w:rsid w:val="00D126CA"/>
    <w:rsid w:val="00D13F05"/>
    <w:rsid w:val="00D16237"/>
    <w:rsid w:val="00D17315"/>
    <w:rsid w:val="00D21747"/>
    <w:rsid w:val="00D2299F"/>
    <w:rsid w:val="00D274EA"/>
    <w:rsid w:val="00D30D2D"/>
    <w:rsid w:val="00D310A1"/>
    <w:rsid w:val="00D34C8C"/>
    <w:rsid w:val="00D35E97"/>
    <w:rsid w:val="00D377C2"/>
    <w:rsid w:val="00D56E2C"/>
    <w:rsid w:val="00D57935"/>
    <w:rsid w:val="00D60F49"/>
    <w:rsid w:val="00D61493"/>
    <w:rsid w:val="00D62A30"/>
    <w:rsid w:val="00D66264"/>
    <w:rsid w:val="00D66554"/>
    <w:rsid w:val="00D70943"/>
    <w:rsid w:val="00D70FB2"/>
    <w:rsid w:val="00D756B7"/>
    <w:rsid w:val="00D76ABC"/>
    <w:rsid w:val="00D801CF"/>
    <w:rsid w:val="00D80669"/>
    <w:rsid w:val="00D80F7E"/>
    <w:rsid w:val="00D8639F"/>
    <w:rsid w:val="00D8645C"/>
    <w:rsid w:val="00D87649"/>
    <w:rsid w:val="00D915C4"/>
    <w:rsid w:val="00D928A2"/>
    <w:rsid w:val="00D92965"/>
    <w:rsid w:val="00D93B31"/>
    <w:rsid w:val="00D96B7D"/>
    <w:rsid w:val="00D97F9F"/>
    <w:rsid w:val="00DA1F73"/>
    <w:rsid w:val="00DA4511"/>
    <w:rsid w:val="00DB1192"/>
    <w:rsid w:val="00DB4E97"/>
    <w:rsid w:val="00DB6986"/>
    <w:rsid w:val="00DB70AD"/>
    <w:rsid w:val="00DB7A99"/>
    <w:rsid w:val="00DC27E6"/>
    <w:rsid w:val="00DC2A4D"/>
    <w:rsid w:val="00DC4772"/>
    <w:rsid w:val="00DC5C97"/>
    <w:rsid w:val="00DD01C5"/>
    <w:rsid w:val="00DD2259"/>
    <w:rsid w:val="00DD3CE0"/>
    <w:rsid w:val="00DD3E02"/>
    <w:rsid w:val="00DD5411"/>
    <w:rsid w:val="00DD5B84"/>
    <w:rsid w:val="00DD772E"/>
    <w:rsid w:val="00DD7915"/>
    <w:rsid w:val="00DE4F48"/>
    <w:rsid w:val="00DE4F9F"/>
    <w:rsid w:val="00DE62CC"/>
    <w:rsid w:val="00DF01F8"/>
    <w:rsid w:val="00DF29DD"/>
    <w:rsid w:val="00DF4EFA"/>
    <w:rsid w:val="00DF71F5"/>
    <w:rsid w:val="00DF7B45"/>
    <w:rsid w:val="00DF7C40"/>
    <w:rsid w:val="00DF7DE5"/>
    <w:rsid w:val="00E00DED"/>
    <w:rsid w:val="00E01A89"/>
    <w:rsid w:val="00E0472C"/>
    <w:rsid w:val="00E05A4C"/>
    <w:rsid w:val="00E12099"/>
    <w:rsid w:val="00E15E73"/>
    <w:rsid w:val="00E2183D"/>
    <w:rsid w:val="00E23501"/>
    <w:rsid w:val="00E23A53"/>
    <w:rsid w:val="00E23AF3"/>
    <w:rsid w:val="00E25906"/>
    <w:rsid w:val="00E27357"/>
    <w:rsid w:val="00E414A6"/>
    <w:rsid w:val="00E426B0"/>
    <w:rsid w:val="00E4315D"/>
    <w:rsid w:val="00E43981"/>
    <w:rsid w:val="00E43A79"/>
    <w:rsid w:val="00E54C1D"/>
    <w:rsid w:val="00E62837"/>
    <w:rsid w:val="00E66F21"/>
    <w:rsid w:val="00E75A1A"/>
    <w:rsid w:val="00E7688F"/>
    <w:rsid w:val="00E80C1C"/>
    <w:rsid w:val="00E92AD5"/>
    <w:rsid w:val="00E95194"/>
    <w:rsid w:val="00EA30C2"/>
    <w:rsid w:val="00EA35A3"/>
    <w:rsid w:val="00EA65EC"/>
    <w:rsid w:val="00EA67AA"/>
    <w:rsid w:val="00EA7141"/>
    <w:rsid w:val="00EB0085"/>
    <w:rsid w:val="00EB482C"/>
    <w:rsid w:val="00EB4D36"/>
    <w:rsid w:val="00EB75AF"/>
    <w:rsid w:val="00EC0666"/>
    <w:rsid w:val="00EC09F2"/>
    <w:rsid w:val="00EC21FC"/>
    <w:rsid w:val="00EC26D9"/>
    <w:rsid w:val="00EC4A2A"/>
    <w:rsid w:val="00EC5549"/>
    <w:rsid w:val="00EC6ACD"/>
    <w:rsid w:val="00EC7646"/>
    <w:rsid w:val="00ED0EF9"/>
    <w:rsid w:val="00ED0F41"/>
    <w:rsid w:val="00ED4898"/>
    <w:rsid w:val="00ED4EC7"/>
    <w:rsid w:val="00ED64DE"/>
    <w:rsid w:val="00ED7A20"/>
    <w:rsid w:val="00EE3FF2"/>
    <w:rsid w:val="00EE4593"/>
    <w:rsid w:val="00EF4ABE"/>
    <w:rsid w:val="00EF591A"/>
    <w:rsid w:val="00EF5E50"/>
    <w:rsid w:val="00EF6BCD"/>
    <w:rsid w:val="00EF6E88"/>
    <w:rsid w:val="00F00CC2"/>
    <w:rsid w:val="00F02F61"/>
    <w:rsid w:val="00F03293"/>
    <w:rsid w:val="00F032B6"/>
    <w:rsid w:val="00F04BD4"/>
    <w:rsid w:val="00F05E8A"/>
    <w:rsid w:val="00F062B9"/>
    <w:rsid w:val="00F06D13"/>
    <w:rsid w:val="00F07BDE"/>
    <w:rsid w:val="00F11025"/>
    <w:rsid w:val="00F16BE2"/>
    <w:rsid w:val="00F21A30"/>
    <w:rsid w:val="00F21D74"/>
    <w:rsid w:val="00F2305E"/>
    <w:rsid w:val="00F240DE"/>
    <w:rsid w:val="00F249E1"/>
    <w:rsid w:val="00F31C6B"/>
    <w:rsid w:val="00F32380"/>
    <w:rsid w:val="00F3762D"/>
    <w:rsid w:val="00F414F0"/>
    <w:rsid w:val="00F41D2E"/>
    <w:rsid w:val="00F42321"/>
    <w:rsid w:val="00F51A16"/>
    <w:rsid w:val="00F54C62"/>
    <w:rsid w:val="00F572E7"/>
    <w:rsid w:val="00F573B1"/>
    <w:rsid w:val="00F70981"/>
    <w:rsid w:val="00F70C6F"/>
    <w:rsid w:val="00F7388B"/>
    <w:rsid w:val="00F77519"/>
    <w:rsid w:val="00F82E1A"/>
    <w:rsid w:val="00F84688"/>
    <w:rsid w:val="00F85C97"/>
    <w:rsid w:val="00F92394"/>
    <w:rsid w:val="00F94063"/>
    <w:rsid w:val="00F95C69"/>
    <w:rsid w:val="00F973F9"/>
    <w:rsid w:val="00FA1BEA"/>
    <w:rsid w:val="00FB0AA4"/>
    <w:rsid w:val="00FB1260"/>
    <w:rsid w:val="00FB67AD"/>
    <w:rsid w:val="00FC2B99"/>
    <w:rsid w:val="00FC31FA"/>
    <w:rsid w:val="00FD0459"/>
    <w:rsid w:val="00FD0A8C"/>
    <w:rsid w:val="00FD6BBB"/>
    <w:rsid w:val="00FE2881"/>
    <w:rsid w:val="00FE3A01"/>
    <w:rsid w:val="00FE41C2"/>
    <w:rsid w:val="00FE49D3"/>
    <w:rsid w:val="00FE4A75"/>
    <w:rsid w:val="00FE68C5"/>
    <w:rsid w:val="00FE7BF7"/>
    <w:rsid w:val="00FF163D"/>
    <w:rsid w:val="00FF3843"/>
    <w:rsid w:val="01264972"/>
    <w:rsid w:val="01353907"/>
    <w:rsid w:val="01374C0C"/>
    <w:rsid w:val="01382DB4"/>
    <w:rsid w:val="014C132E"/>
    <w:rsid w:val="01571123"/>
    <w:rsid w:val="016E4D66"/>
    <w:rsid w:val="017B1E7D"/>
    <w:rsid w:val="017D5380"/>
    <w:rsid w:val="01C744FB"/>
    <w:rsid w:val="01F81447"/>
    <w:rsid w:val="02171DC9"/>
    <w:rsid w:val="022A0392"/>
    <w:rsid w:val="02417FD0"/>
    <w:rsid w:val="02451546"/>
    <w:rsid w:val="02680801"/>
    <w:rsid w:val="02B33DA2"/>
    <w:rsid w:val="02C55317"/>
    <w:rsid w:val="031B3B28"/>
    <w:rsid w:val="03514002"/>
    <w:rsid w:val="037D4AC6"/>
    <w:rsid w:val="03B42250"/>
    <w:rsid w:val="03D2657B"/>
    <w:rsid w:val="03D36100"/>
    <w:rsid w:val="03ED3E80"/>
    <w:rsid w:val="03F70746"/>
    <w:rsid w:val="04013DD9"/>
    <w:rsid w:val="04221DEB"/>
    <w:rsid w:val="04253FDA"/>
    <w:rsid w:val="0425785D"/>
    <w:rsid w:val="042D13E6"/>
    <w:rsid w:val="04542FC9"/>
    <w:rsid w:val="046B0149"/>
    <w:rsid w:val="048D2705"/>
    <w:rsid w:val="048D5F88"/>
    <w:rsid w:val="0491110B"/>
    <w:rsid w:val="049F3CA4"/>
    <w:rsid w:val="04A4707C"/>
    <w:rsid w:val="04AF3080"/>
    <w:rsid w:val="04BF41D9"/>
    <w:rsid w:val="04CA4768"/>
    <w:rsid w:val="050723CE"/>
    <w:rsid w:val="05155212"/>
    <w:rsid w:val="05305791"/>
    <w:rsid w:val="05687CD1"/>
    <w:rsid w:val="057206AF"/>
    <w:rsid w:val="058A7125"/>
    <w:rsid w:val="05973B0C"/>
    <w:rsid w:val="0597643A"/>
    <w:rsid w:val="05A035F5"/>
    <w:rsid w:val="05A4108E"/>
    <w:rsid w:val="05C20583"/>
    <w:rsid w:val="05D11A97"/>
    <w:rsid w:val="05DB7E28"/>
    <w:rsid w:val="05DF682E"/>
    <w:rsid w:val="05E84F40"/>
    <w:rsid w:val="05EC4069"/>
    <w:rsid w:val="05FCADA9"/>
    <w:rsid w:val="05FE00EA"/>
    <w:rsid w:val="063C5F64"/>
    <w:rsid w:val="067A46D7"/>
    <w:rsid w:val="067B2072"/>
    <w:rsid w:val="068743EF"/>
    <w:rsid w:val="06887047"/>
    <w:rsid w:val="06944C10"/>
    <w:rsid w:val="069A6F62"/>
    <w:rsid w:val="06A607F6"/>
    <w:rsid w:val="06B16B87"/>
    <w:rsid w:val="06BD087A"/>
    <w:rsid w:val="06C66B2C"/>
    <w:rsid w:val="073316DF"/>
    <w:rsid w:val="07541C13"/>
    <w:rsid w:val="076B73D5"/>
    <w:rsid w:val="07723089"/>
    <w:rsid w:val="07785F9A"/>
    <w:rsid w:val="077E0859"/>
    <w:rsid w:val="077E62DB"/>
    <w:rsid w:val="07BF12C2"/>
    <w:rsid w:val="07FA7E23"/>
    <w:rsid w:val="089E0EE2"/>
    <w:rsid w:val="08AE69CD"/>
    <w:rsid w:val="08F63EB4"/>
    <w:rsid w:val="091C11FF"/>
    <w:rsid w:val="092E279E"/>
    <w:rsid w:val="0951052A"/>
    <w:rsid w:val="09575B61"/>
    <w:rsid w:val="09623EF2"/>
    <w:rsid w:val="09776C22"/>
    <w:rsid w:val="098A39AD"/>
    <w:rsid w:val="0994100B"/>
    <w:rsid w:val="09BF208D"/>
    <w:rsid w:val="0A03435E"/>
    <w:rsid w:val="0A1761FA"/>
    <w:rsid w:val="0A247833"/>
    <w:rsid w:val="0AC17331"/>
    <w:rsid w:val="0AC55D37"/>
    <w:rsid w:val="0AF36C07"/>
    <w:rsid w:val="0B422D73"/>
    <w:rsid w:val="0B493D92"/>
    <w:rsid w:val="0B560EAA"/>
    <w:rsid w:val="0B7216D3"/>
    <w:rsid w:val="0B7713DE"/>
    <w:rsid w:val="0BC56F5F"/>
    <w:rsid w:val="0BC76BDF"/>
    <w:rsid w:val="0BDF4286"/>
    <w:rsid w:val="0BE84B95"/>
    <w:rsid w:val="0BE913D5"/>
    <w:rsid w:val="0BFF1D75"/>
    <w:rsid w:val="0C082ECB"/>
    <w:rsid w:val="0C3C461F"/>
    <w:rsid w:val="0C433FAA"/>
    <w:rsid w:val="0C5F38DA"/>
    <w:rsid w:val="0C6C2BF0"/>
    <w:rsid w:val="0C7015F6"/>
    <w:rsid w:val="0CE90EBC"/>
    <w:rsid w:val="0D1A400D"/>
    <w:rsid w:val="0D3B1FC4"/>
    <w:rsid w:val="0D847E39"/>
    <w:rsid w:val="0DA9034D"/>
    <w:rsid w:val="0E010A88"/>
    <w:rsid w:val="0E183F30"/>
    <w:rsid w:val="0E367C5D"/>
    <w:rsid w:val="0E53178C"/>
    <w:rsid w:val="0E825B5E"/>
    <w:rsid w:val="0E945A78"/>
    <w:rsid w:val="0EB3632D"/>
    <w:rsid w:val="0EBD4792"/>
    <w:rsid w:val="0EFE6290"/>
    <w:rsid w:val="0F000F7B"/>
    <w:rsid w:val="0F0C2D0E"/>
    <w:rsid w:val="0F14184A"/>
    <w:rsid w:val="0F65034F"/>
    <w:rsid w:val="0FB107CE"/>
    <w:rsid w:val="0FEF237E"/>
    <w:rsid w:val="100C5EB5"/>
    <w:rsid w:val="10285E8F"/>
    <w:rsid w:val="105A4474"/>
    <w:rsid w:val="106B567E"/>
    <w:rsid w:val="106E6603"/>
    <w:rsid w:val="107B371A"/>
    <w:rsid w:val="1091203B"/>
    <w:rsid w:val="10AE3B69"/>
    <w:rsid w:val="10EC4CD3"/>
    <w:rsid w:val="10F86567"/>
    <w:rsid w:val="1103057E"/>
    <w:rsid w:val="11044578"/>
    <w:rsid w:val="11306FB4"/>
    <w:rsid w:val="114159B8"/>
    <w:rsid w:val="115560EE"/>
    <w:rsid w:val="115B080A"/>
    <w:rsid w:val="116A55A1"/>
    <w:rsid w:val="117E09BE"/>
    <w:rsid w:val="11C64636"/>
    <w:rsid w:val="11E319E8"/>
    <w:rsid w:val="11E47469"/>
    <w:rsid w:val="1201601B"/>
    <w:rsid w:val="12141D25"/>
    <w:rsid w:val="122D0B62"/>
    <w:rsid w:val="1254771D"/>
    <w:rsid w:val="12597428"/>
    <w:rsid w:val="126357B9"/>
    <w:rsid w:val="12750F57"/>
    <w:rsid w:val="129D4699"/>
    <w:rsid w:val="12BF7E23"/>
    <w:rsid w:val="12C46AD7"/>
    <w:rsid w:val="12D547F3"/>
    <w:rsid w:val="12D73BA1"/>
    <w:rsid w:val="12D7495A"/>
    <w:rsid w:val="13465DAC"/>
    <w:rsid w:val="134C3538"/>
    <w:rsid w:val="136662E0"/>
    <w:rsid w:val="136D5C6B"/>
    <w:rsid w:val="137A2D83"/>
    <w:rsid w:val="139401A6"/>
    <w:rsid w:val="13BD1C3C"/>
    <w:rsid w:val="140B4C3E"/>
    <w:rsid w:val="141E4414"/>
    <w:rsid w:val="1428639F"/>
    <w:rsid w:val="143556B4"/>
    <w:rsid w:val="1442307C"/>
    <w:rsid w:val="1462527F"/>
    <w:rsid w:val="14775224"/>
    <w:rsid w:val="147F2631"/>
    <w:rsid w:val="14885D40"/>
    <w:rsid w:val="1491254B"/>
    <w:rsid w:val="14D42C8D"/>
    <w:rsid w:val="14E867DD"/>
    <w:rsid w:val="14EA645D"/>
    <w:rsid w:val="14EE28E4"/>
    <w:rsid w:val="14F13869"/>
    <w:rsid w:val="153B29E4"/>
    <w:rsid w:val="153D0ED8"/>
    <w:rsid w:val="15472079"/>
    <w:rsid w:val="154C6501"/>
    <w:rsid w:val="15501684"/>
    <w:rsid w:val="156B2E59"/>
    <w:rsid w:val="157250BC"/>
    <w:rsid w:val="158C5C66"/>
    <w:rsid w:val="159233F2"/>
    <w:rsid w:val="15BF2FBD"/>
    <w:rsid w:val="15C94311"/>
    <w:rsid w:val="15CB160C"/>
    <w:rsid w:val="15E9057E"/>
    <w:rsid w:val="15FD7388"/>
    <w:rsid w:val="16352BFB"/>
    <w:rsid w:val="1637067E"/>
    <w:rsid w:val="1661013C"/>
    <w:rsid w:val="16872A06"/>
    <w:rsid w:val="16D43129"/>
    <w:rsid w:val="16DF5613"/>
    <w:rsid w:val="16E24019"/>
    <w:rsid w:val="16E60821"/>
    <w:rsid w:val="16E80C72"/>
    <w:rsid w:val="174E6F4B"/>
    <w:rsid w:val="176667F0"/>
    <w:rsid w:val="17733033"/>
    <w:rsid w:val="17864B27"/>
    <w:rsid w:val="178F79B5"/>
    <w:rsid w:val="17995D46"/>
    <w:rsid w:val="17D13CA1"/>
    <w:rsid w:val="17EF0CD3"/>
    <w:rsid w:val="18127FE5"/>
    <w:rsid w:val="182511AD"/>
    <w:rsid w:val="18270E2D"/>
    <w:rsid w:val="18740F2C"/>
    <w:rsid w:val="18825CC3"/>
    <w:rsid w:val="18923D5F"/>
    <w:rsid w:val="18AA5B83"/>
    <w:rsid w:val="18BC4BA4"/>
    <w:rsid w:val="18BE00A7"/>
    <w:rsid w:val="18C0583E"/>
    <w:rsid w:val="18E44A63"/>
    <w:rsid w:val="18FE1E5F"/>
    <w:rsid w:val="194C6FB6"/>
    <w:rsid w:val="19563379"/>
    <w:rsid w:val="196E3005"/>
    <w:rsid w:val="198C07E7"/>
    <w:rsid w:val="198F2D64"/>
    <w:rsid w:val="19B64DBC"/>
    <w:rsid w:val="19BD4746"/>
    <w:rsid w:val="19E13681"/>
    <w:rsid w:val="19ED5160"/>
    <w:rsid w:val="19ED7494"/>
    <w:rsid w:val="19F63627"/>
    <w:rsid w:val="1A081343"/>
    <w:rsid w:val="1A306C84"/>
    <w:rsid w:val="1A3F149C"/>
    <w:rsid w:val="1A5144D8"/>
    <w:rsid w:val="1A845156"/>
    <w:rsid w:val="1A8C56F4"/>
    <w:rsid w:val="1AA94F5A"/>
    <w:rsid w:val="1AC15FF3"/>
    <w:rsid w:val="1AE55ED7"/>
    <w:rsid w:val="1B0E1437"/>
    <w:rsid w:val="1B15228D"/>
    <w:rsid w:val="1B2A271F"/>
    <w:rsid w:val="1B317B2B"/>
    <w:rsid w:val="1B3D393E"/>
    <w:rsid w:val="1B515E62"/>
    <w:rsid w:val="1B7E31BF"/>
    <w:rsid w:val="1B9F015F"/>
    <w:rsid w:val="1BB678F1"/>
    <w:rsid w:val="1BD32178"/>
    <w:rsid w:val="1BED245D"/>
    <w:rsid w:val="1C0623B1"/>
    <w:rsid w:val="1C124C1B"/>
    <w:rsid w:val="1C2516BD"/>
    <w:rsid w:val="1C525A04"/>
    <w:rsid w:val="1CC57360"/>
    <w:rsid w:val="1D0C28B4"/>
    <w:rsid w:val="1D11726C"/>
    <w:rsid w:val="1D1C1985"/>
    <w:rsid w:val="1D3A7F00"/>
    <w:rsid w:val="1D6541D7"/>
    <w:rsid w:val="1DA453B1"/>
    <w:rsid w:val="1DB93B7A"/>
    <w:rsid w:val="1DC24730"/>
    <w:rsid w:val="1E2223FC"/>
    <w:rsid w:val="1E374707"/>
    <w:rsid w:val="1E5176C8"/>
    <w:rsid w:val="1E6B54DF"/>
    <w:rsid w:val="1E7B1B91"/>
    <w:rsid w:val="1E8E752D"/>
    <w:rsid w:val="1E944CBA"/>
    <w:rsid w:val="1E9858BE"/>
    <w:rsid w:val="1EA60457"/>
    <w:rsid w:val="1EAF54E3"/>
    <w:rsid w:val="1EBE2C17"/>
    <w:rsid w:val="1EDC7DB4"/>
    <w:rsid w:val="1EE86942"/>
    <w:rsid w:val="1F0C367F"/>
    <w:rsid w:val="1F1F489E"/>
    <w:rsid w:val="1F4412F3"/>
    <w:rsid w:val="1F4A3163"/>
    <w:rsid w:val="1F615307"/>
    <w:rsid w:val="1F6A3CD8"/>
    <w:rsid w:val="1F723023"/>
    <w:rsid w:val="1F7475C1"/>
    <w:rsid w:val="1FA060F1"/>
    <w:rsid w:val="1FA75A7B"/>
    <w:rsid w:val="1FC85FB0"/>
    <w:rsid w:val="1FF30611"/>
    <w:rsid w:val="1FF90F83"/>
    <w:rsid w:val="1FFFC793"/>
    <w:rsid w:val="20187034"/>
    <w:rsid w:val="204F718E"/>
    <w:rsid w:val="20525F14"/>
    <w:rsid w:val="205F6CCB"/>
    <w:rsid w:val="20831F67"/>
    <w:rsid w:val="20950B2A"/>
    <w:rsid w:val="20C96E58"/>
    <w:rsid w:val="20DF0FFB"/>
    <w:rsid w:val="210D2CDD"/>
    <w:rsid w:val="212B02B3"/>
    <w:rsid w:val="2149055F"/>
    <w:rsid w:val="214D162F"/>
    <w:rsid w:val="215C1C4A"/>
    <w:rsid w:val="21A70A44"/>
    <w:rsid w:val="21C03D73"/>
    <w:rsid w:val="21DD0233"/>
    <w:rsid w:val="21FC5422"/>
    <w:rsid w:val="223076A3"/>
    <w:rsid w:val="223A51BA"/>
    <w:rsid w:val="224739FE"/>
    <w:rsid w:val="226C530A"/>
    <w:rsid w:val="227C7B23"/>
    <w:rsid w:val="22AC5767"/>
    <w:rsid w:val="22B1501E"/>
    <w:rsid w:val="22D94639"/>
    <w:rsid w:val="22EC5858"/>
    <w:rsid w:val="22F53F69"/>
    <w:rsid w:val="237552FF"/>
    <w:rsid w:val="23AF6C1B"/>
    <w:rsid w:val="23D557D6"/>
    <w:rsid w:val="241059BB"/>
    <w:rsid w:val="24217E53"/>
    <w:rsid w:val="24685D29"/>
    <w:rsid w:val="24785EE6"/>
    <w:rsid w:val="248B1A81"/>
    <w:rsid w:val="24905B07"/>
    <w:rsid w:val="24B64533"/>
    <w:rsid w:val="24C11B7C"/>
    <w:rsid w:val="24CB286B"/>
    <w:rsid w:val="24D40F7C"/>
    <w:rsid w:val="24DD4B4B"/>
    <w:rsid w:val="24E37F11"/>
    <w:rsid w:val="24E53415"/>
    <w:rsid w:val="2501375A"/>
    <w:rsid w:val="25396722"/>
    <w:rsid w:val="253C3E23"/>
    <w:rsid w:val="254F08C6"/>
    <w:rsid w:val="25787C2E"/>
    <w:rsid w:val="259E2FAF"/>
    <w:rsid w:val="25A073CB"/>
    <w:rsid w:val="25C7728B"/>
    <w:rsid w:val="25ED4D2E"/>
    <w:rsid w:val="25F43153"/>
    <w:rsid w:val="26004E66"/>
    <w:rsid w:val="26133E87"/>
    <w:rsid w:val="2617288D"/>
    <w:rsid w:val="261B6D15"/>
    <w:rsid w:val="262D276C"/>
    <w:rsid w:val="263369A1"/>
    <w:rsid w:val="263E6EC9"/>
    <w:rsid w:val="26603B53"/>
    <w:rsid w:val="266E549A"/>
    <w:rsid w:val="266F679F"/>
    <w:rsid w:val="26756598"/>
    <w:rsid w:val="26811F3C"/>
    <w:rsid w:val="26CA0473"/>
    <w:rsid w:val="26DC1351"/>
    <w:rsid w:val="26FE6ED9"/>
    <w:rsid w:val="27100BEC"/>
    <w:rsid w:val="27103A72"/>
    <w:rsid w:val="27133A29"/>
    <w:rsid w:val="27166098"/>
    <w:rsid w:val="273242DE"/>
    <w:rsid w:val="27357461"/>
    <w:rsid w:val="27395E67"/>
    <w:rsid w:val="2742413F"/>
    <w:rsid w:val="275E37DF"/>
    <w:rsid w:val="276C1B3A"/>
    <w:rsid w:val="27A70019"/>
    <w:rsid w:val="27B222AE"/>
    <w:rsid w:val="27D327E3"/>
    <w:rsid w:val="27E11AF8"/>
    <w:rsid w:val="27F7751F"/>
    <w:rsid w:val="28302C0B"/>
    <w:rsid w:val="28BD5FE3"/>
    <w:rsid w:val="28BD75AB"/>
    <w:rsid w:val="28D72411"/>
    <w:rsid w:val="28E95BAE"/>
    <w:rsid w:val="28FBA64D"/>
    <w:rsid w:val="29311825"/>
    <w:rsid w:val="293E4DEC"/>
    <w:rsid w:val="29420130"/>
    <w:rsid w:val="294B23CF"/>
    <w:rsid w:val="295916E5"/>
    <w:rsid w:val="29703508"/>
    <w:rsid w:val="297C731B"/>
    <w:rsid w:val="29C05E6C"/>
    <w:rsid w:val="29D12B98"/>
    <w:rsid w:val="2A031B7E"/>
    <w:rsid w:val="2A063478"/>
    <w:rsid w:val="2A0B2F55"/>
    <w:rsid w:val="2A540774"/>
    <w:rsid w:val="2AC32EB5"/>
    <w:rsid w:val="2AC40937"/>
    <w:rsid w:val="2AD07FCD"/>
    <w:rsid w:val="2AFB0A91"/>
    <w:rsid w:val="2B305EE3"/>
    <w:rsid w:val="2B3866F7"/>
    <w:rsid w:val="2B3E6082"/>
    <w:rsid w:val="2B3F0343"/>
    <w:rsid w:val="2B5327A4"/>
    <w:rsid w:val="2B723D14"/>
    <w:rsid w:val="2B8A4E7D"/>
    <w:rsid w:val="2B9A2F19"/>
    <w:rsid w:val="2B9B46DD"/>
    <w:rsid w:val="2BA769AB"/>
    <w:rsid w:val="2BA87CB0"/>
    <w:rsid w:val="2BB53743"/>
    <w:rsid w:val="2BC1720F"/>
    <w:rsid w:val="2BEF26C6"/>
    <w:rsid w:val="2BF11BF1"/>
    <w:rsid w:val="2C370819"/>
    <w:rsid w:val="2C4E32F2"/>
    <w:rsid w:val="2C6E2FF3"/>
    <w:rsid w:val="2C74287C"/>
    <w:rsid w:val="2C781282"/>
    <w:rsid w:val="2C8E6CA9"/>
    <w:rsid w:val="2CB23118"/>
    <w:rsid w:val="2CD64E9F"/>
    <w:rsid w:val="2CE64002"/>
    <w:rsid w:val="2CF23937"/>
    <w:rsid w:val="2D3E35CA"/>
    <w:rsid w:val="2D413E81"/>
    <w:rsid w:val="2D9F6AE6"/>
    <w:rsid w:val="2DA61CF4"/>
    <w:rsid w:val="2DCB66B1"/>
    <w:rsid w:val="2DDE5D83"/>
    <w:rsid w:val="2E06677F"/>
    <w:rsid w:val="2E182F2D"/>
    <w:rsid w:val="2E32735A"/>
    <w:rsid w:val="2E742673"/>
    <w:rsid w:val="2ED85371"/>
    <w:rsid w:val="2F257BE7"/>
    <w:rsid w:val="2F2C7572"/>
    <w:rsid w:val="2F48361F"/>
    <w:rsid w:val="2F4A639A"/>
    <w:rsid w:val="2F540736"/>
    <w:rsid w:val="2F6D3FB3"/>
    <w:rsid w:val="2FE47684"/>
    <w:rsid w:val="2FF46FBA"/>
    <w:rsid w:val="30045057"/>
    <w:rsid w:val="30065993"/>
    <w:rsid w:val="301358D0"/>
    <w:rsid w:val="304212B8"/>
    <w:rsid w:val="307F49A0"/>
    <w:rsid w:val="30D05BE1"/>
    <w:rsid w:val="312564F4"/>
    <w:rsid w:val="31331EC5"/>
    <w:rsid w:val="31790757"/>
    <w:rsid w:val="31894E52"/>
    <w:rsid w:val="31D56F89"/>
    <w:rsid w:val="31D80455"/>
    <w:rsid w:val="31FE2893"/>
    <w:rsid w:val="325B51AB"/>
    <w:rsid w:val="326D328A"/>
    <w:rsid w:val="32705150"/>
    <w:rsid w:val="327A7C5E"/>
    <w:rsid w:val="32B62041"/>
    <w:rsid w:val="32B97A73"/>
    <w:rsid w:val="32D33B70"/>
    <w:rsid w:val="32E72810"/>
    <w:rsid w:val="3302392D"/>
    <w:rsid w:val="33123FD2"/>
    <w:rsid w:val="331A3B6C"/>
    <w:rsid w:val="334129CE"/>
    <w:rsid w:val="33843993"/>
    <w:rsid w:val="33BB606C"/>
    <w:rsid w:val="33EC463C"/>
    <w:rsid w:val="341B3FDD"/>
    <w:rsid w:val="34380EB8"/>
    <w:rsid w:val="344D33DC"/>
    <w:rsid w:val="34566D8F"/>
    <w:rsid w:val="34567668"/>
    <w:rsid w:val="34692D0C"/>
    <w:rsid w:val="346C65E7"/>
    <w:rsid w:val="34825E35"/>
    <w:rsid w:val="34D205EF"/>
    <w:rsid w:val="35014185"/>
    <w:rsid w:val="352765C3"/>
    <w:rsid w:val="355D101B"/>
    <w:rsid w:val="356910BE"/>
    <w:rsid w:val="358B0865"/>
    <w:rsid w:val="35AB441D"/>
    <w:rsid w:val="35B12CA3"/>
    <w:rsid w:val="35C10D3F"/>
    <w:rsid w:val="362A5965"/>
    <w:rsid w:val="367125DA"/>
    <w:rsid w:val="36C95CEF"/>
    <w:rsid w:val="36CB20C5"/>
    <w:rsid w:val="370E12DD"/>
    <w:rsid w:val="3726190B"/>
    <w:rsid w:val="374C62C8"/>
    <w:rsid w:val="37645B6D"/>
    <w:rsid w:val="37AF056B"/>
    <w:rsid w:val="37C91115"/>
    <w:rsid w:val="37CE146C"/>
    <w:rsid w:val="37D43765"/>
    <w:rsid w:val="37DF6C05"/>
    <w:rsid w:val="37E551C2"/>
    <w:rsid w:val="37E99B6F"/>
    <w:rsid w:val="380534F8"/>
    <w:rsid w:val="381C311D"/>
    <w:rsid w:val="384D1776"/>
    <w:rsid w:val="385F708A"/>
    <w:rsid w:val="38674496"/>
    <w:rsid w:val="38A1061D"/>
    <w:rsid w:val="39060B1C"/>
    <w:rsid w:val="3914724D"/>
    <w:rsid w:val="39446403"/>
    <w:rsid w:val="39902C7F"/>
    <w:rsid w:val="39926182"/>
    <w:rsid w:val="39C443D2"/>
    <w:rsid w:val="39C841EE"/>
    <w:rsid w:val="39D65971"/>
    <w:rsid w:val="39E5018A"/>
    <w:rsid w:val="39FF6B36"/>
    <w:rsid w:val="3A021CB9"/>
    <w:rsid w:val="3A2434F2"/>
    <w:rsid w:val="3A633143"/>
    <w:rsid w:val="3A82130D"/>
    <w:rsid w:val="3A9109D6"/>
    <w:rsid w:val="3A9315A8"/>
    <w:rsid w:val="3A9465D5"/>
    <w:rsid w:val="3ACB1E7C"/>
    <w:rsid w:val="3ACF5B89"/>
    <w:rsid w:val="3B126B7D"/>
    <w:rsid w:val="3B2B032F"/>
    <w:rsid w:val="3B320257"/>
    <w:rsid w:val="3B8E0546"/>
    <w:rsid w:val="3BAC4273"/>
    <w:rsid w:val="3BC7289E"/>
    <w:rsid w:val="3BCF0AD3"/>
    <w:rsid w:val="3BD479B6"/>
    <w:rsid w:val="3BEF1864"/>
    <w:rsid w:val="3C3A4DDB"/>
    <w:rsid w:val="3C437FCB"/>
    <w:rsid w:val="3C4D3DFC"/>
    <w:rsid w:val="3C5E1B18"/>
    <w:rsid w:val="3C807ACE"/>
    <w:rsid w:val="3CB52527"/>
    <w:rsid w:val="3CB558BC"/>
    <w:rsid w:val="3CE16532"/>
    <w:rsid w:val="3D205459"/>
    <w:rsid w:val="3D2903CE"/>
    <w:rsid w:val="3D2C764F"/>
    <w:rsid w:val="3D2D6CED"/>
    <w:rsid w:val="3D313028"/>
    <w:rsid w:val="3D3C1506"/>
    <w:rsid w:val="3D4F64D5"/>
    <w:rsid w:val="3D66234A"/>
    <w:rsid w:val="3D893639"/>
    <w:rsid w:val="3D8F350F"/>
    <w:rsid w:val="3D931F15"/>
    <w:rsid w:val="3D941B95"/>
    <w:rsid w:val="3DA51E2F"/>
    <w:rsid w:val="3DBC52D8"/>
    <w:rsid w:val="3DF379B0"/>
    <w:rsid w:val="3DFC60C1"/>
    <w:rsid w:val="3E023A62"/>
    <w:rsid w:val="3E0E5FDB"/>
    <w:rsid w:val="3E266F05"/>
    <w:rsid w:val="3E355E9B"/>
    <w:rsid w:val="3E5D0E9D"/>
    <w:rsid w:val="3E9A1443"/>
    <w:rsid w:val="3EAC4BE0"/>
    <w:rsid w:val="3EB26AE9"/>
    <w:rsid w:val="3EC80C8D"/>
    <w:rsid w:val="3ED734A6"/>
    <w:rsid w:val="3EEF0B4C"/>
    <w:rsid w:val="3EFD584F"/>
    <w:rsid w:val="3F056573"/>
    <w:rsid w:val="3F104904"/>
    <w:rsid w:val="3F2C52F0"/>
    <w:rsid w:val="3F5FDEF0"/>
    <w:rsid w:val="3F7F27B0"/>
    <w:rsid w:val="3F9D57ED"/>
    <w:rsid w:val="3FA147E2"/>
    <w:rsid w:val="3FCB5038"/>
    <w:rsid w:val="3FEB7AEB"/>
    <w:rsid w:val="40071619"/>
    <w:rsid w:val="40107D2A"/>
    <w:rsid w:val="401A4DB7"/>
    <w:rsid w:val="403646E7"/>
    <w:rsid w:val="40372168"/>
    <w:rsid w:val="403C54EE"/>
    <w:rsid w:val="40472403"/>
    <w:rsid w:val="405939A2"/>
    <w:rsid w:val="40790653"/>
    <w:rsid w:val="40E70C87"/>
    <w:rsid w:val="413C1A16"/>
    <w:rsid w:val="41885AC1"/>
    <w:rsid w:val="41BC57E8"/>
    <w:rsid w:val="41C837F8"/>
    <w:rsid w:val="41CE0F85"/>
    <w:rsid w:val="41DA332D"/>
    <w:rsid w:val="42117689"/>
    <w:rsid w:val="42174BFC"/>
    <w:rsid w:val="42220A0F"/>
    <w:rsid w:val="423C15B9"/>
    <w:rsid w:val="4257172C"/>
    <w:rsid w:val="42631478"/>
    <w:rsid w:val="426B4382"/>
    <w:rsid w:val="427D2E4F"/>
    <w:rsid w:val="429E1523"/>
    <w:rsid w:val="42D822B6"/>
    <w:rsid w:val="43380557"/>
    <w:rsid w:val="433B0E73"/>
    <w:rsid w:val="43774387"/>
    <w:rsid w:val="437F2ECA"/>
    <w:rsid w:val="438A6CDC"/>
    <w:rsid w:val="43931B6A"/>
    <w:rsid w:val="43A14EC9"/>
    <w:rsid w:val="43AB7211"/>
    <w:rsid w:val="43AB778C"/>
    <w:rsid w:val="43C965A5"/>
    <w:rsid w:val="43E55E8D"/>
    <w:rsid w:val="43F75112"/>
    <w:rsid w:val="43F87310"/>
    <w:rsid w:val="43F913D7"/>
    <w:rsid w:val="44174342"/>
    <w:rsid w:val="44233318"/>
    <w:rsid w:val="442E5667"/>
    <w:rsid w:val="44402F88"/>
    <w:rsid w:val="445E2041"/>
    <w:rsid w:val="447446DC"/>
    <w:rsid w:val="447A65E5"/>
    <w:rsid w:val="448C6831"/>
    <w:rsid w:val="448F6A79"/>
    <w:rsid w:val="44A52CAC"/>
    <w:rsid w:val="44AA4BB6"/>
    <w:rsid w:val="44B83ECB"/>
    <w:rsid w:val="44BD15A5"/>
    <w:rsid w:val="44CF7374"/>
    <w:rsid w:val="44D0203B"/>
    <w:rsid w:val="44D437FB"/>
    <w:rsid w:val="44E0760E"/>
    <w:rsid w:val="44EC0EA2"/>
    <w:rsid w:val="44FC113D"/>
    <w:rsid w:val="4510235C"/>
    <w:rsid w:val="454A343A"/>
    <w:rsid w:val="45512EF4"/>
    <w:rsid w:val="4556724D"/>
    <w:rsid w:val="45726B7D"/>
    <w:rsid w:val="45773EB1"/>
    <w:rsid w:val="4583011C"/>
    <w:rsid w:val="45A01B16"/>
    <w:rsid w:val="45A4461F"/>
    <w:rsid w:val="45B75FEC"/>
    <w:rsid w:val="45E30135"/>
    <w:rsid w:val="45E745BD"/>
    <w:rsid w:val="45FC6AE1"/>
    <w:rsid w:val="46022BE9"/>
    <w:rsid w:val="460439C2"/>
    <w:rsid w:val="46117980"/>
    <w:rsid w:val="464712C6"/>
    <w:rsid w:val="4667038F"/>
    <w:rsid w:val="466C009A"/>
    <w:rsid w:val="468E6050"/>
    <w:rsid w:val="46B502C1"/>
    <w:rsid w:val="46D64950"/>
    <w:rsid w:val="46DA06CE"/>
    <w:rsid w:val="4774005B"/>
    <w:rsid w:val="477754DC"/>
    <w:rsid w:val="47783A4F"/>
    <w:rsid w:val="47982159"/>
    <w:rsid w:val="47A01390"/>
    <w:rsid w:val="47B70FB5"/>
    <w:rsid w:val="47B76DB7"/>
    <w:rsid w:val="47B922BA"/>
    <w:rsid w:val="47CB5A57"/>
    <w:rsid w:val="47DC6A1F"/>
    <w:rsid w:val="47EA0986"/>
    <w:rsid w:val="48054938"/>
    <w:rsid w:val="48C0506B"/>
    <w:rsid w:val="48E07B1E"/>
    <w:rsid w:val="491834FB"/>
    <w:rsid w:val="491C7983"/>
    <w:rsid w:val="496733C7"/>
    <w:rsid w:val="499E7C0A"/>
    <w:rsid w:val="49AC6C25"/>
    <w:rsid w:val="49B27B2C"/>
    <w:rsid w:val="49E2479D"/>
    <w:rsid w:val="49E9514B"/>
    <w:rsid w:val="49F41771"/>
    <w:rsid w:val="4A581909"/>
    <w:rsid w:val="4A59738B"/>
    <w:rsid w:val="4A691BA3"/>
    <w:rsid w:val="4AD978D9"/>
    <w:rsid w:val="4AE820F1"/>
    <w:rsid w:val="4AE97B73"/>
    <w:rsid w:val="4B1D70C8"/>
    <w:rsid w:val="4B2F60E9"/>
    <w:rsid w:val="4B4D1E16"/>
    <w:rsid w:val="4B5E33B5"/>
    <w:rsid w:val="4B74187D"/>
    <w:rsid w:val="4B812670"/>
    <w:rsid w:val="4B9D22AB"/>
    <w:rsid w:val="4BC352D8"/>
    <w:rsid w:val="4BCA1764"/>
    <w:rsid w:val="4C3C1FA9"/>
    <w:rsid w:val="4C5061C1"/>
    <w:rsid w:val="4C544BC7"/>
    <w:rsid w:val="4C812213"/>
    <w:rsid w:val="4C9E6C66"/>
    <w:rsid w:val="4CA052D2"/>
    <w:rsid w:val="4CCA6BB1"/>
    <w:rsid w:val="4CF451B4"/>
    <w:rsid w:val="4D135A79"/>
    <w:rsid w:val="4D4A1D28"/>
    <w:rsid w:val="4D4F02E2"/>
    <w:rsid w:val="4D504B3E"/>
    <w:rsid w:val="4D521266"/>
    <w:rsid w:val="4D595CA0"/>
    <w:rsid w:val="4D711B1B"/>
    <w:rsid w:val="4D7A022C"/>
    <w:rsid w:val="4D9B1396"/>
    <w:rsid w:val="4DCD4433"/>
    <w:rsid w:val="4DDA5CC7"/>
    <w:rsid w:val="4E1A6AB1"/>
    <w:rsid w:val="4E293506"/>
    <w:rsid w:val="4E4478F5"/>
    <w:rsid w:val="4E4E4FFF"/>
    <w:rsid w:val="4E7F6455"/>
    <w:rsid w:val="4E907153"/>
    <w:rsid w:val="4E964623"/>
    <w:rsid w:val="4EC12742"/>
    <w:rsid w:val="4ECD1DD8"/>
    <w:rsid w:val="4EE730F8"/>
    <w:rsid w:val="4F334479"/>
    <w:rsid w:val="4F820602"/>
    <w:rsid w:val="4F9949A4"/>
    <w:rsid w:val="4FA252B3"/>
    <w:rsid w:val="4FC50CEB"/>
    <w:rsid w:val="4FEB47AE"/>
    <w:rsid w:val="4FEF0D82"/>
    <w:rsid w:val="4FF705C0"/>
    <w:rsid w:val="501F77FB"/>
    <w:rsid w:val="50636069"/>
    <w:rsid w:val="508D0734"/>
    <w:rsid w:val="50C5582E"/>
    <w:rsid w:val="50C625CD"/>
    <w:rsid w:val="50E64646"/>
    <w:rsid w:val="50FE5570"/>
    <w:rsid w:val="51085BF6"/>
    <w:rsid w:val="514B566F"/>
    <w:rsid w:val="515A2406"/>
    <w:rsid w:val="51A24252"/>
    <w:rsid w:val="51CE4BF5"/>
    <w:rsid w:val="51DA26DE"/>
    <w:rsid w:val="51DB3C59"/>
    <w:rsid w:val="51DF265F"/>
    <w:rsid w:val="51E72E99"/>
    <w:rsid w:val="51EC51F8"/>
    <w:rsid w:val="52002ABD"/>
    <w:rsid w:val="5204701C"/>
    <w:rsid w:val="52252DD4"/>
    <w:rsid w:val="52470D8A"/>
    <w:rsid w:val="524841B9"/>
    <w:rsid w:val="52B3173E"/>
    <w:rsid w:val="52BB64A3"/>
    <w:rsid w:val="52BC623B"/>
    <w:rsid w:val="52CE7D69"/>
    <w:rsid w:val="52EF5426"/>
    <w:rsid w:val="52F34726"/>
    <w:rsid w:val="531D7AE8"/>
    <w:rsid w:val="53537FC2"/>
    <w:rsid w:val="537D6E41"/>
    <w:rsid w:val="53925529"/>
    <w:rsid w:val="53B87967"/>
    <w:rsid w:val="53E804B6"/>
    <w:rsid w:val="54027570"/>
    <w:rsid w:val="5409426E"/>
    <w:rsid w:val="545558F2"/>
    <w:rsid w:val="548B40A5"/>
    <w:rsid w:val="54CA68AA"/>
    <w:rsid w:val="54F13846"/>
    <w:rsid w:val="550466F6"/>
    <w:rsid w:val="550B6B84"/>
    <w:rsid w:val="554A487A"/>
    <w:rsid w:val="555F6D9E"/>
    <w:rsid w:val="55783760"/>
    <w:rsid w:val="557C414F"/>
    <w:rsid w:val="55802B56"/>
    <w:rsid w:val="55945F73"/>
    <w:rsid w:val="559F33DB"/>
    <w:rsid w:val="55A3400F"/>
    <w:rsid w:val="55C67A47"/>
    <w:rsid w:val="55DF63F2"/>
    <w:rsid w:val="56207419"/>
    <w:rsid w:val="56251945"/>
    <w:rsid w:val="5640190F"/>
    <w:rsid w:val="56866800"/>
    <w:rsid w:val="56956775"/>
    <w:rsid w:val="569D2944"/>
    <w:rsid w:val="56A65531"/>
    <w:rsid w:val="56A7005F"/>
    <w:rsid w:val="56DF024E"/>
    <w:rsid w:val="56F11733"/>
    <w:rsid w:val="573A75A8"/>
    <w:rsid w:val="573F13BC"/>
    <w:rsid w:val="576C35FB"/>
    <w:rsid w:val="578E7032"/>
    <w:rsid w:val="579730CB"/>
    <w:rsid w:val="57EE9B45"/>
    <w:rsid w:val="57F55ADD"/>
    <w:rsid w:val="584148D8"/>
    <w:rsid w:val="58633B93"/>
    <w:rsid w:val="58AD748A"/>
    <w:rsid w:val="58BF0A29"/>
    <w:rsid w:val="58E575E4"/>
    <w:rsid w:val="590B30A7"/>
    <w:rsid w:val="59253C51"/>
    <w:rsid w:val="5965282C"/>
    <w:rsid w:val="598F6EC6"/>
    <w:rsid w:val="59CB43DE"/>
    <w:rsid w:val="5A2B64B6"/>
    <w:rsid w:val="5A623658"/>
    <w:rsid w:val="5ACA4A36"/>
    <w:rsid w:val="5B02505E"/>
    <w:rsid w:val="5B374935"/>
    <w:rsid w:val="5B6F0312"/>
    <w:rsid w:val="5B8B65BE"/>
    <w:rsid w:val="5B8E39AC"/>
    <w:rsid w:val="5BAA506A"/>
    <w:rsid w:val="5BE96957"/>
    <w:rsid w:val="5BFF2AD6"/>
    <w:rsid w:val="5C1F35AE"/>
    <w:rsid w:val="5C2D3BC9"/>
    <w:rsid w:val="5C3B2EDE"/>
    <w:rsid w:val="5C641B24"/>
    <w:rsid w:val="5CA85A91"/>
    <w:rsid w:val="5CDC4C66"/>
    <w:rsid w:val="5CF60894"/>
    <w:rsid w:val="5D082632"/>
    <w:rsid w:val="5D3D7167"/>
    <w:rsid w:val="5D8B36D2"/>
    <w:rsid w:val="5DA659B4"/>
    <w:rsid w:val="5DB81151"/>
    <w:rsid w:val="5DD43000"/>
    <w:rsid w:val="5DE15E39"/>
    <w:rsid w:val="5DF56E1B"/>
    <w:rsid w:val="5DFB763C"/>
    <w:rsid w:val="5E313936"/>
    <w:rsid w:val="5E487850"/>
    <w:rsid w:val="5E8048B9"/>
    <w:rsid w:val="5E973EF7"/>
    <w:rsid w:val="5F1D429B"/>
    <w:rsid w:val="5F2E6734"/>
    <w:rsid w:val="5F4C71D4"/>
    <w:rsid w:val="5F5B6FEB"/>
    <w:rsid w:val="5F775C2F"/>
    <w:rsid w:val="5FC554F4"/>
    <w:rsid w:val="5FCA04E2"/>
    <w:rsid w:val="5FDF6558"/>
    <w:rsid w:val="5FE36B70"/>
    <w:rsid w:val="5FEC366F"/>
    <w:rsid w:val="6001450E"/>
    <w:rsid w:val="601C63BD"/>
    <w:rsid w:val="606F4B42"/>
    <w:rsid w:val="60975D06"/>
    <w:rsid w:val="60A11E99"/>
    <w:rsid w:val="60E23550"/>
    <w:rsid w:val="60E31A6D"/>
    <w:rsid w:val="60F4061E"/>
    <w:rsid w:val="60F5158E"/>
    <w:rsid w:val="60FC5A2B"/>
    <w:rsid w:val="610872BF"/>
    <w:rsid w:val="61125152"/>
    <w:rsid w:val="612620F2"/>
    <w:rsid w:val="616542D7"/>
    <w:rsid w:val="6174055D"/>
    <w:rsid w:val="6198112C"/>
    <w:rsid w:val="61A274BD"/>
    <w:rsid w:val="61D60C11"/>
    <w:rsid w:val="61D746EE"/>
    <w:rsid w:val="61EB3135"/>
    <w:rsid w:val="61EB5333"/>
    <w:rsid w:val="61F66F47"/>
    <w:rsid w:val="61FA20CA"/>
    <w:rsid w:val="620B3669"/>
    <w:rsid w:val="622D673C"/>
    <w:rsid w:val="623E513D"/>
    <w:rsid w:val="62601622"/>
    <w:rsid w:val="626B1104"/>
    <w:rsid w:val="62A0552A"/>
    <w:rsid w:val="62A173E0"/>
    <w:rsid w:val="632153B0"/>
    <w:rsid w:val="633C1354"/>
    <w:rsid w:val="633E4DE2"/>
    <w:rsid w:val="63436FBD"/>
    <w:rsid w:val="634379DF"/>
    <w:rsid w:val="635D14EF"/>
    <w:rsid w:val="63A10E62"/>
    <w:rsid w:val="63A2666B"/>
    <w:rsid w:val="63A7308B"/>
    <w:rsid w:val="63DA4A04"/>
    <w:rsid w:val="63DC38E5"/>
    <w:rsid w:val="63DE586C"/>
    <w:rsid w:val="63F41F75"/>
    <w:rsid w:val="6430556D"/>
    <w:rsid w:val="6443458E"/>
    <w:rsid w:val="64646CC1"/>
    <w:rsid w:val="6470472A"/>
    <w:rsid w:val="648065F1"/>
    <w:rsid w:val="64900E0A"/>
    <w:rsid w:val="64AC2938"/>
    <w:rsid w:val="64BB2F53"/>
    <w:rsid w:val="64D7377C"/>
    <w:rsid w:val="64E42A92"/>
    <w:rsid w:val="64FC5F3B"/>
    <w:rsid w:val="6530645D"/>
    <w:rsid w:val="655A2B7C"/>
    <w:rsid w:val="65617B76"/>
    <w:rsid w:val="659C2241"/>
    <w:rsid w:val="660776F2"/>
    <w:rsid w:val="66146A07"/>
    <w:rsid w:val="66215D1D"/>
    <w:rsid w:val="66F66FFA"/>
    <w:rsid w:val="66FB3482"/>
    <w:rsid w:val="6703088E"/>
    <w:rsid w:val="671309C0"/>
    <w:rsid w:val="671D1438"/>
    <w:rsid w:val="67393C52"/>
    <w:rsid w:val="67504202"/>
    <w:rsid w:val="676550B0"/>
    <w:rsid w:val="6776225E"/>
    <w:rsid w:val="677F26B1"/>
    <w:rsid w:val="678420E1"/>
    <w:rsid w:val="678C2D71"/>
    <w:rsid w:val="67DC111B"/>
    <w:rsid w:val="67ED0D1F"/>
    <w:rsid w:val="67F14C93"/>
    <w:rsid w:val="680C6B42"/>
    <w:rsid w:val="68290671"/>
    <w:rsid w:val="6833299C"/>
    <w:rsid w:val="683A15AE"/>
    <w:rsid w:val="68490BA5"/>
    <w:rsid w:val="684A7768"/>
    <w:rsid w:val="684E08B0"/>
    <w:rsid w:val="685C4343"/>
    <w:rsid w:val="686F5562"/>
    <w:rsid w:val="688A6AFA"/>
    <w:rsid w:val="68DF6B1A"/>
    <w:rsid w:val="68FF5834"/>
    <w:rsid w:val="69282792"/>
    <w:rsid w:val="696A0640"/>
    <w:rsid w:val="696B7D83"/>
    <w:rsid w:val="6971770E"/>
    <w:rsid w:val="698A6FB3"/>
    <w:rsid w:val="69905D90"/>
    <w:rsid w:val="699917CC"/>
    <w:rsid w:val="69DF663C"/>
    <w:rsid w:val="69E2372D"/>
    <w:rsid w:val="69E441CA"/>
    <w:rsid w:val="6A000277"/>
    <w:rsid w:val="6A0E178B"/>
    <w:rsid w:val="6A2F5543"/>
    <w:rsid w:val="6A3761D2"/>
    <w:rsid w:val="6A3C0286"/>
    <w:rsid w:val="6A4F7FF6"/>
    <w:rsid w:val="6A5C730C"/>
    <w:rsid w:val="6A66349E"/>
    <w:rsid w:val="6A705FAC"/>
    <w:rsid w:val="6A894958"/>
    <w:rsid w:val="6A8D49D1"/>
    <w:rsid w:val="6AA40D85"/>
    <w:rsid w:val="6AAE3893"/>
    <w:rsid w:val="6AC81B63"/>
    <w:rsid w:val="6AD841E5"/>
    <w:rsid w:val="6B0777A4"/>
    <w:rsid w:val="6B0F5196"/>
    <w:rsid w:val="6B1113B9"/>
    <w:rsid w:val="6B635940"/>
    <w:rsid w:val="6B646A51"/>
    <w:rsid w:val="6B8425F1"/>
    <w:rsid w:val="6B9A0018"/>
    <w:rsid w:val="6BBB4121"/>
    <w:rsid w:val="6BDF7B10"/>
    <w:rsid w:val="6BF90031"/>
    <w:rsid w:val="6C203AAB"/>
    <w:rsid w:val="6C5E57D7"/>
    <w:rsid w:val="6C762E7E"/>
    <w:rsid w:val="6C7A7686"/>
    <w:rsid w:val="6C90182A"/>
    <w:rsid w:val="6C951535"/>
    <w:rsid w:val="6CA15792"/>
    <w:rsid w:val="6CA669C0"/>
    <w:rsid w:val="6CA9051B"/>
    <w:rsid w:val="6CB30AE5"/>
    <w:rsid w:val="6CB55DF8"/>
    <w:rsid w:val="6CC232FE"/>
    <w:rsid w:val="6CD36734"/>
    <w:rsid w:val="6CD9769F"/>
    <w:rsid w:val="6D112410"/>
    <w:rsid w:val="6D1B140E"/>
    <w:rsid w:val="6D264C1D"/>
    <w:rsid w:val="6D2E4BAB"/>
    <w:rsid w:val="6D473557"/>
    <w:rsid w:val="6D5502EE"/>
    <w:rsid w:val="6D5D460E"/>
    <w:rsid w:val="6D772BD6"/>
    <w:rsid w:val="6D7F1132"/>
    <w:rsid w:val="6D8668BF"/>
    <w:rsid w:val="6D997ADE"/>
    <w:rsid w:val="6DB2239A"/>
    <w:rsid w:val="6DDF0252"/>
    <w:rsid w:val="6DEF39DB"/>
    <w:rsid w:val="6DF60A73"/>
    <w:rsid w:val="6E024F6C"/>
    <w:rsid w:val="6E2F12D6"/>
    <w:rsid w:val="6E8C5AFA"/>
    <w:rsid w:val="6E9A240A"/>
    <w:rsid w:val="6EB45CAC"/>
    <w:rsid w:val="6EF14E23"/>
    <w:rsid w:val="6EF44517"/>
    <w:rsid w:val="6EFB3EA2"/>
    <w:rsid w:val="6F1502CF"/>
    <w:rsid w:val="6F2A116E"/>
    <w:rsid w:val="6F5213F6"/>
    <w:rsid w:val="6F666DD4"/>
    <w:rsid w:val="6F732867"/>
    <w:rsid w:val="6F866004"/>
    <w:rsid w:val="6F8A4A0A"/>
    <w:rsid w:val="6F9AA172"/>
    <w:rsid w:val="6FA82052"/>
    <w:rsid w:val="6FFFB53B"/>
    <w:rsid w:val="70092D5A"/>
    <w:rsid w:val="705359A8"/>
    <w:rsid w:val="707C7B8C"/>
    <w:rsid w:val="708366E0"/>
    <w:rsid w:val="70932CBE"/>
    <w:rsid w:val="70AD3868"/>
    <w:rsid w:val="70E50D56"/>
    <w:rsid w:val="70F57AB6"/>
    <w:rsid w:val="7100078E"/>
    <w:rsid w:val="710E5E8B"/>
    <w:rsid w:val="71167A14"/>
    <w:rsid w:val="71270FB3"/>
    <w:rsid w:val="714275DF"/>
    <w:rsid w:val="71465FE5"/>
    <w:rsid w:val="716B1BD6"/>
    <w:rsid w:val="7179553A"/>
    <w:rsid w:val="71975D28"/>
    <w:rsid w:val="719A54F9"/>
    <w:rsid w:val="71ED0E9D"/>
    <w:rsid w:val="71FB480F"/>
    <w:rsid w:val="720915A6"/>
    <w:rsid w:val="720B4AA9"/>
    <w:rsid w:val="724B7E22"/>
    <w:rsid w:val="725E507D"/>
    <w:rsid w:val="727566D7"/>
    <w:rsid w:val="73023D3C"/>
    <w:rsid w:val="73081FC1"/>
    <w:rsid w:val="730B244E"/>
    <w:rsid w:val="73114357"/>
    <w:rsid w:val="73380993"/>
    <w:rsid w:val="73730B78"/>
    <w:rsid w:val="73A66A49"/>
    <w:rsid w:val="73D16993"/>
    <w:rsid w:val="74015E5E"/>
    <w:rsid w:val="7406644F"/>
    <w:rsid w:val="7431679E"/>
    <w:rsid w:val="74501460"/>
    <w:rsid w:val="7457466E"/>
    <w:rsid w:val="74693AA0"/>
    <w:rsid w:val="74964153"/>
    <w:rsid w:val="74991396"/>
    <w:rsid w:val="74A4476D"/>
    <w:rsid w:val="74B04D28"/>
    <w:rsid w:val="74D20734"/>
    <w:rsid w:val="74D3694C"/>
    <w:rsid w:val="75167F24"/>
    <w:rsid w:val="75342D58"/>
    <w:rsid w:val="75394C61"/>
    <w:rsid w:val="754B267C"/>
    <w:rsid w:val="75506445"/>
    <w:rsid w:val="75F44265"/>
    <w:rsid w:val="76021C43"/>
    <w:rsid w:val="76077FB1"/>
    <w:rsid w:val="76265D30"/>
    <w:rsid w:val="76453E99"/>
    <w:rsid w:val="76A8723C"/>
    <w:rsid w:val="76B54F97"/>
    <w:rsid w:val="76BD6FDB"/>
    <w:rsid w:val="76CD2B7B"/>
    <w:rsid w:val="76D77B85"/>
    <w:rsid w:val="76E91124"/>
    <w:rsid w:val="76F44F37"/>
    <w:rsid w:val="77137D6A"/>
    <w:rsid w:val="771E4DFF"/>
    <w:rsid w:val="772F71D6"/>
    <w:rsid w:val="77383FF4"/>
    <w:rsid w:val="7741798A"/>
    <w:rsid w:val="774B5945"/>
    <w:rsid w:val="77537167"/>
    <w:rsid w:val="775F23E8"/>
    <w:rsid w:val="775F52FA"/>
    <w:rsid w:val="776677F4"/>
    <w:rsid w:val="77C33D3D"/>
    <w:rsid w:val="77CD4C1A"/>
    <w:rsid w:val="78270FCB"/>
    <w:rsid w:val="783955CE"/>
    <w:rsid w:val="78521712"/>
    <w:rsid w:val="78632B8F"/>
    <w:rsid w:val="78925C5D"/>
    <w:rsid w:val="78D750CC"/>
    <w:rsid w:val="791B233D"/>
    <w:rsid w:val="793357E6"/>
    <w:rsid w:val="79343B79"/>
    <w:rsid w:val="795D662A"/>
    <w:rsid w:val="796B01E8"/>
    <w:rsid w:val="797D5C82"/>
    <w:rsid w:val="79C8155D"/>
    <w:rsid w:val="79D4756E"/>
    <w:rsid w:val="79E50F9E"/>
    <w:rsid w:val="79F27E13"/>
    <w:rsid w:val="7A392B15"/>
    <w:rsid w:val="7A3F6C1D"/>
    <w:rsid w:val="7A6535D9"/>
    <w:rsid w:val="7A775F6D"/>
    <w:rsid w:val="7A905722"/>
    <w:rsid w:val="7A926E30"/>
    <w:rsid w:val="7ACA4603"/>
    <w:rsid w:val="7AEF46D7"/>
    <w:rsid w:val="7B13551C"/>
    <w:rsid w:val="7B1F1B0E"/>
    <w:rsid w:val="7B456A20"/>
    <w:rsid w:val="7B743797"/>
    <w:rsid w:val="7B787C1E"/>
    <w:rsid w:val="7B7A0F23"/>
    <w:rsid w:val="7B7B2438"/>
    <w:rsid w:val="7B7F5A27"/>
    <w:rsid w:val="7BA47844"/>
    <w:rsid w:val="7BA6526A"/>
    <w:rsid w:val="7BBA3F0B"/>
    <w:rsid w:val="7BBFD460"/>
    <w:rsid w:val="7BFB7903"/>
    <w:rsid w:val="7C007131"/>
    <w:rsid w:val="7C0B5CB2"/>
    <w:rsid w:val="7C0B64C6"/>
    <w:rsid w:val="7C1A4E83"/>
    <w:rsid w:val="7C2D79D7"/>
    <w:rsid w:val="7C650BE3"/>
    <w:rsid w:val="7C7D601C"/>
    <w:rsid w:val="7CB805AB"/>
    <w:rsid w:val="7CDA1DE4"/>
    <w:rsid w:val="7CFDFD71"/>
    <w:rsid w:val="7D0A03B5"/>
    <w:rsid w:val="7D1E37D2"/>
    <w:rsid w:val="7D2E5FEB"/>
    <w:rsid w:val="7D3134F6"/>
    <w:rsid w:val="7D5826B2"/>
    <w:rsid w:val="7D5B6EBA"/>
    <w:rsid w:val="7D684ECB"/>
    <w:rsid w:val="7D956C94"/>
    <w:rsid w:val="7DA708F4"/>
    <w:rsid w:val="7DAF266D"/>
    <w:rsid w:val="7DDB7408"/>
    <w:rsid w:val="7DFD0F71"/>
    <w:rsid w:val="7DFE2968"/>
    <w:rsid w:val="7E05604E"/>
    <w:rsid w:val="7E9C7724"/>
    <w:rsid w:val="7EA36E51"/>
    <w:rsid w:val="7EBF0D00"/>
    <w:rsid w:val="7EC54E07"/>
    <w:rsid w:val="7EC767D9"/>
    <w:rsid w:val="7EEEFC35"/>
    <w:rsid w:val="7EFB30E3"/>
    <w:rsid w:val="7EFD2BD3"/>
    <w:rsid w:val="7F35093E"/>
    <w:rsid w:val="7F5E5386"/>
    <w:rsid w:val="7F623D8C"/>
    <w:rsid w:val="7F7165A5"/>
    <w:rsid w:val="7F781799"/>
    <w:rsid w:val="7FB7BC2D"/>
    <w:rsid w:val="7FC5602F"/>
    <w:rsid w:val="7FD0349B"/>
    <w:rsid w:val="7FD52A46"/>
    <w:rsid w:val="7FFF5F60"/>
    <w:rsid w:val="9BFB6CB8"/>
    <w:rsid w:val="9FFDFF5F"/>
    <w:rsid w:val="A9FD12DC"/>
    <w:rsid w:val="B2DBB962"/>
    <w:rsid w:val="BBEA284B"/>
    <w:rsid w:val="C75728FB"/>
    <w:rsid w:val="CFBF16E9"/>
    <w:rsid w:val="DBFFBDCF"/>
    <w:rsid w:val="DEFF62D9"/>
    <w:rsid w:val="E1D7BE38"/>
    <w:rsid w:val="EB7B2A51"/>
    <w:rsid w:val="EE3F4B11"/>
    <w:rsid w:val="F5BBCB15"/>
    <w:rsid w:val="F78CC2A4"/>
    <w:rsid w:val="FAFF0598"/>
    <w:rsid w:val="FCBF65AB"/>
    <w:rsid w:val="FEFD7D95"/>
    <w:rsid w:val="FF3F2F58"/>
    <w:rsid w:val="FFFF9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pageBreakBefore/>
      <w:numPr>
        <w:ilvl w:val="0"/>
        <w:numId w:val="1"/>
      </w:numPr>
      <w:spacing w:before="340" w:after="330" w:line="560" w:lineRule="exact"/>
      <w:jc w:val="center"/>
      <w:outlineLvl w:val="0"/>
    </w:pPr>
    <w:rPr>
      <w:rFonts w:eastAsia="黑体" w:cs="黑体"/>
      <w:b/>
      <w:bCs/>
      <w:kern w:val="44"/>
      <w:sz w:val="32"/>
      <w:szCs w:val="32"/>
      <w:lang w:val="zh-CN"/>
    </w:rPr>
  </w:style>
  <w:style w:type="paragraph" w:styleId="3">
    <w:name w:val="heading 2"/>
    <w:basedOn w:val="1"/>
    <w:next w:val="4"/>
    <w:link w:val="34"/>
    <w:qFormat/>
    <w:uiPriority w:val="0"/>
    <w:pPr>
      <w:keepNext/>
      <w:keepLines/>
      <w:numPr>
        <w:ilvl w:val="1"/>
        <w:numId w:val="1"/>
      </w:numPr>
      <w:spacing w:before="120" w:after="120" w:line="560" w:lineRule="exact"/>
      <w:ind w:left="0"/>
      <w:jc w:val="center"/>
      <w:outlineLvl w:val="1"/>
    </w:pPr>
    <w:rPr>
      <w:rFonts w:eastAsia="黑体"/>
      <w:sz w:val="28"/>
      <w:szCs w:val="28"/>
      <w:lang w:val="zh-CN"/>
    </w:rPr>
  </w:style>
  <w:style w:type="paragraph" w:styleId="5">
    <w:name w:val="heading 3"/>
    <w:basedOn w:val="1"/>
    <w:next w:val="1"/>
    <w:link w:val="35"/>
    <w:qFormat/>
    <w:uiPriority w:val="0"/>
    <w:pPr>
      <w:keepNext/>
      <w:keepLines/>
      <w:numPr>
        <w:ilvl w:val="2"/>
        <w:numId w:val="2"/>
      </w:numPr>
      <w:spacing w:line="560" w:lineRule="exact"/>
      <w:outlineLvl w:val="2"/>
    </w:pPr>
    <w:rPr>
      <w:rFonts w:eastAsia="楷体_GB2312"/>
      <w:b/>
      <w:sz w:val="28"/>
      <w:szCs w:val="28"/>
    </w:rPr>
  </w:style>
  <w:style w:type="paragraph" w:styleId="6">
    <w:name w:val="heading 4"/>
    <w:basedOn w:val="1"/>
    <w:next w:val="1"/>
    <w:qFormat/>
    <w:uiPriority w:val="0"/>
    <w:pPr>
      <w:keepNext/>
      <w:keepLines/>
      <w:numPr>
        <w:ilvl w:val="3"/>
        <w:numId w:val="1"/>
      </w:numPr>
      <w:spacing w:before="280" w:after="290" w:line="376" w:lineRule="auto"/>
      <w:outlineLvl w:val="3"/>
    </w:pPr>
    <w:rPr>
      <w:rFonts w:ascii="Cambria" w:hAnsi="Cambria" w:cs="黑体"/>
      <w:b/>
      <w:bCs/>
      <w:sz w:val="28"/>
      <w:szCs w:val="28"/>
    </w:rPr>
  </w:style>
  <w:style w:type="paragraph" w:styleId="7">
    <w:name w:val="heading 5"/>
    <w:basedOn w:val="1"/>
    <w:next w:val="1"/>
    <w:link w:val="36"/>
    <w:qFormat/>
    <w:uiPriority w:val="0"/>
    <w:pPr>
      <w:keepNext/>
      <w:keepLines/>
      <w:numPr>
        <w:ilvl w:val="4"/>
        <w:numId w:val="1"/>
      </w:numPr>
      <w:spacing w:before="280" w:after="290" w:line="376" w:lineRule="auto"/>
      <w:outlineLvl w:val="4"/>
    </w:pPr>
    <w:rPr>
      <w:b/>
      <w:bCs/>
      <w:sz w:val="28"/>
      <w:szCs w:val="28"/>
    </w:rPr>
  </w:style>
  <w:style w:type="paragraph" w:styleId="8">
    <w:name w:val="heading 6"/>
    <w:basedOn w:val="1"/>
    <w:next w:val="1"/>
    <w:link w:val="37"/>
    <w:qFormat/>
    <w:uiPriority w:val="0"/>
    <w:pPr>
      <w:keepNext/>
      <w:keepLines/>
      <w:numPr>
        <w:ilvl w:val="5"/>
        <w:numId w:val="1"/>
      </w:numPr>
      <w:spacing w:before="240" w:after="64" w:line="320" w:lineRule="auto"/>
      <w:outlineLvl w:val="5"/>
    </w:pPr>
    <w:rPr>
      <w:rFonts w:ascii="等线 Light" w:hAnsi="等线 Light" w:eastAsia="等线 Light"/>
      <w:b/>
      <w:bCs/>
      <w:sz w:val="24"/>
    </w:rPr>
  </w:style>
  <w:style w:type="character" w:default="1" w:styleId="29">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4">
    <w:name w:val="样式 仿宋_GB2312 四号 首行缩进:  0.99 厘米 行距: 1.5 倍行距"/>
    <w:basedOn w:val="1"/>
    <w:qFormat/>
    <w:uiPriority w:val="0"/>
    <w:pPr>
      <w:adjustRightInd w:val="0"/>
      <w:spacing w:line="560" w:lineRule="exact"/>
      <w:ind w:firstLine="200" w:firstLineChars="200"/>
      <w:textAlignment w:val="baseline"/>
    </w:pPr>
    <w:rPr>
      <w:rFonts w:ascii="仿宋_GB2312" w:eastAsia="仿宋_GB2312"/>
      <w:kern w:val="0"/>
      <w:sz w:val="28"/>
      <w:szCs w:val="20"/>
    </w:rPr>
  </w:style>
  <w:style w:type="paragraph" w:styleId="9">
    <w:name w:val="Normal Indent"/>
    <w:basedOn w:val="1"/>
    <w:qFormat/>
    <w:uiPriority w:val="0"/>
    <w:pPr>
      <w:ind w:firstLine="420"/>
    </w:pPr>
  </w:style>
  <w:style w:type="paragraph" w:styleId="10">
    <w:name w:val="annotation text"/>
    <w:basedOn w:val="1"/>
    <w:link w:val="38"/>
    <w:qFormat/>
    <w:uiPriority w:val="0"/>
    <w:pPr>
      <w:jc w:val="left"/>
    </w:pPr>
  </w:style>
  <w:style w:type="paragraph" w:styleId="11">
    <w:name w:val="Body Text"/>
    <w:basedOn w:val="1"/>
    <w:qFormat/>
    <w:uiPriority w:val="0"/>
    <w:pPr>
      <w:spacing w:after="120"/>
    </w:pPr>
  </w:style>
  <w:style w:type="paragraph" w:styleId="12">
    <w:name w:val="Body Text Indent"/>
    <w:basedOn w:val="1"/>
    <w:next w:val="13"/>
    <w:qFormat/>
    <w:uiPriority w:val="99"/>
    <w:pPr>
      <w:spacing w:after="120"/>
      <w:ind w:left="420" w:leftChars="200"/>
    </w:pPr>
  </w:style>
  <w:style w:type="paragraph" w:styleId="13">
    <w:name w:val="footer"/>
    <w:basedOn w:val="1"/>
    <w:link w:val="176"/>
    <w:qFormat/>
    <w:uiPriority w:val="99"/>
    <w:pPr>
      <w:tabs>
        <w:tab w:val="center" w:pos="4153"/>
        <w:tab w:val="right" w:pos="8306"/>
      </w:tabs>
      <w:snapToGrid w:val="0"/>
      <w:jc w:val="left"/>
    </w:pPr>
    <w:rPr>
      <w:sz w:val="18"/>
      <w:szCs w:val="18"/>
    </w:rPr>
  </w:style>
  <w:style w:type="paragraph" w:styleId="14">
    <w:name w:val="toc 3"/>
    <w:basedOn w:val="1"/>
    <w:next w:val="1"/>
    <w:qFormat/>
    <w:uiPriority w:val="0"/>
    <w:pPr>
      <w:ind w:left="840" w:leftChars="400"/>
    </w:pPr>
  </w:style>
  <w:style w:type="paragraph" w:styleId="15">
    <w:name w:val="Plain Text"/>
    <w:basedOn w:val="1"/>
    <w:qFormat/>
    <w:uiPriority w:val="0"/>
    <w:rPr>
      <w:rFonts w:ascii="宋体" w:hAnsi="Courier New"/>
      <w:szCs w:val="21"/>
    </w:rPr>
  </w:style>
  <w:style w:type="paragraph" w:styleId="16">
    <w:name w:val="Date"/>
    <w:basedOn w:val="1"/>
    <w:next w:val="1"/>
    <w:link w:val="39"/>
    <w:qFormat/>
    <w:uiPriority w:val="0"/>
    <w:pPr>
      <w:adjustRightInd w:val="0"/>
      <w:spacing w:line="312" w:lineRule="atLeast"/>
      <w:textAlignment w:val="baseline"/>
    </w:pPr>
    <w:rPr>
      <w:kern w:val="0"/>
      <w:sz w:val="32"/>
      <w:szCs w:val="20"/>
    </w:rPr>
  </w:style>
  <w:style w:type="paragraph" w:styleId="17">
    <w:name w:val="Body Text Indent 2"/>
    <w:basedOn w:val="1"/>
    <w:qFormat/>
    <w:uiPriority w:val="0"/>
    <w:pPr>
      <w:spacing w:line="500" w:lineRule="exact"/>
      <w:ind w:firstLine="480" w:firstLineChars="200"/>
    </w:pPr>
    <w:rPr>
      <w:rFonts w:ascii="宋体" w:hAnsi="宋体"/>
      <w:sz w:val="24"/>
    </w:rPr>
  </w:style>
  <w:style w:type="paragraph" w:styleId="18">
    <w:name w:val="Balloon Text"/>
    <w:basedOn w:val="1"/>
    <w:link w:val="177"/>
    <w:qFormat/>
    <w:uiPriority w:val="0"/>
    <w:pPr>
      <w:spacing w:after="0" w:line="240" w:lineRule="auto"/>
    </w:pPr>
    <w:rPr>
      <w:sz w:val="18"/>
      <w:szCs w:val="18"/>
    </w:rPr>
  </w:style>
  <w:style w:type="paragraph" w:styleId="19">
    <w:name w:val="header"/>
    <w:basedOn w:val="1"/>
    <w:link w:val="178"/>
    <w:qFormat/>
    <w:uiPriority w:val="99"/>
    <w:pPr>
      <w:pBdr>
        <w:bottom w:val="thickThinSmallGap" w:color="auto" w:sz="24" w:space="1"/>
      </w:pBdr>
      <w:tabs>
        <w:tab w:val="center" w:pos="4153"/>
        <w:tab w:val="right" w:pos="8306"/>
      </w:tabs>
      <w:snapToGrid w:val="0"/>
      <w:jc w:val="center"/>
    </w:pPr>
    <w:rPr>
      <w:rFonts w:eastAsia="仿宋_GB2312"/>
      <w:sz w:val="18"/>
      <w:szCs w:val="18"/>
    </w:rPr>
  </w:style>
  <w:style w:type="paragraph" w:styleId="20">
    <w:name w:val="toc 1"/>
    <w:basedOn w:val="1"/>
    <w:next w:val="1"/>
    <w:qFormat/>
    <w:uiPriority w:val="39"/>
    <w:pPr>
      <w:spacing w:after="0" w:line="600" w:lineRule="exact"/>
    </w:pPr>
    <w:rPr>
      <w:rFonts w:eastAsia="黑体"/>
      <w:sz w:val="32"/>
    </w:rPr>
  </w:style>
  <w:style w:type="paragraph" w:styleId="21">
    <w:name w:val="toc 4"/>
    <w:basedOn w:val="1"/>
    <w:next w:val="1"/>
    <w:qFormat/>
    <w:uiPriority w:val="0"/>
    <w:pPr>
      <w:ind w:left="1260" w:leftChars="600"/>
    </w:pPr>
  </w:style>
  <w:style w:type="paragraph" w:styleId="22">
    <w:name w:val="toc 2"/>
    <w:basedOn w:val="1"/>
    <w:next w:val="1"/>
    <w:qFormat/>
    <w:uiPriority w:val="39"/>
    <w:pPr>
      <w:spacing w:after="0" w:line="600" w:lineRule="exact"/>
      <w:ind w:firstLine="100" w:firstLineChars="100"/>
    </w:pPr>
    <w:rPr>
      <w:rFonts w:eastAsia="仿宋_GB2312"/>
      <w:sz w:val="32"/>
    </w:rPr>
  </w:style>
  <w:style w:type="paragraph" w:styleId="2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4">
    <w:name w:val="annotation subject"/>
    <w:basedOn w:val="10"/>
    <w:next w:val="10"/>
    <w:link w:val="40"/>
    <w:qFormat/>
    <w:uiPriority w:val="0"/>
    <w:rPr>
      <w:b/>
      <w:bCs/>
    </w:rPr>
  </w:style>
  <w:style w:type="paragraph" w:styleId="25">
    <w:name w:val="Body Text First Indent 2"/>
    <w:basedOn w:val="12"/>
    <w:next w:val="1"/>
    <w:qFormat/>
    <w:uiPriority w:val="0"/>
    <w:pPr>
      <w:ind w:firstLine="420"/>
    </w:p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8">
    <w:name w:val="Table Theme"/>
    <w:basedOn w:val="26"/>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FollowedHyperlink"/>
    <w:unhideWhenUsed/>
    <w:qFormat/>
    <w:uiPriority w:val="99"/>
    <w:rPr>
      <w:color w:val="96607D"/>
      <w:u w:val="single"/>
    </w:rPr>
  </w:style>
  <w:style w:type="character" w:styleId="31">
    <w:name w:val="Hyperlink"/>
    <w:qFormat/>
    <w:uiPriority w:val="99"/>
    <w:rPr>
      <w:color w:val="0000FF"/>
      <w:u w:val="single"/>
    </w:rPr>
  </w:style>
  <w:style w:type="character" w:styleId="32">
    <w:name w:val="annotation reference"/>
    <w:qFormat/>
    <w:uiPriority w:val="0"/>
    <w:rPr>
      <w:sz w:val="21"/>
      <w:szCs w:val="21"/>
    </w:rPr>
  </w:style>
  <w:style w:type="paragraph" w:customStyle="1" w:styleId="33">
    <w:name w:val="样式 文字样式 + 首行缩进:  2 字符"/>
    <w:basedOn w:val="1"/>
    <w:qFormat/>
    <w:uiPriority w:val="0"/>
    <w:pPr>
      <w:spacing w:line="360" w:lineRule="auto"/>
      <w:ind w:firstLine="560" w:firstLineChars="200"/>
    </w:pPr>
    <w:rPr>
      <w:rFonts w:eastAsia="仿宋_GB2312" w:cs="宋体"/>
      <w:sz w:val="28"/>
      <w:szCs w:val="28"/>
    </w:rPr>
  </w:style>
  <w:style w:type="character" w:customStyle="1" w:styleId="34">
    <w:name w:val="标题 2 字符"/>
    <w:link w:val="3"/>
    <w:qFormat/>
    <w:uiPriority w:val="0"/>
    <w:rPr>
      <w:rFonts w:eastAsia="黑体"/>
      <w:kern w:val="2"/>
      <w:sz w:val="28"/>
      <w:szCs w:val="28"/>
      <w:lang w:val="zh-CN"/>
    </w:rPr>
  </w:style>
  <w:style w:type="character" w:customStyle="1" w:styleId="35">
    <w:name w:val="标题 3 字符"/>
    <w:link w:val="5"/>
    <w:qFormat/>
    <w:uiPriority w:val="0"/>
    <w:rPr>
      <w:rFonts w:eastAsia="楷体_GB2312"/>
      <w:b/>
      <w:kern w:val="2"/>
      <w:sz w:val="28"/>
      <w:szCs w:val="28"/>
    </w:rPr>
  </w:style>
  <w:style w:type="character" w:customStyle="1" w:styleId="36">
    <w:name w:val="标题 5 字符"/>
    <w:link w:val="7"/>
    <w:semiHidden/>
    <w:qFormat/>
    <w:uiPriority w:val="0"/>
    <w:rPr>
      <w:b/>
      <w:bCs/>
      <w:kern w:val="2"/>
      <w:sz w:val="28"/>
      <w:szCs w:val="28"/>
    </w:rPr>
  </w:style>
  <w:style w:type="character" w:customStyle="1" w:styleId="37">
    <w:name w:val="标题 6 字符"/>
    <w:link w:val="8"/>
    <w:semiHidden/>
    <w:qFormat/>
    <w:uiPriority w:val="0"/>
    <w:rPr>
      <w:rFonts w:ascii="等线 Light" w:hAnsi="等线 Light" w:eastAsia="等线 Light"/>
      <w:b/>
      <w:bCs/>
      <w:kern w:val="2"/>
      <w:sz w:val="24"/>
      <w:szCs w:val="24"/>
    </w:rPr>
  </w:style>
  <w:style w:type="character" w:customStyle="1" w:styleId="38">
    <w:name w:val="批注文字 字符"/>
    <w:link w:val="10"/>
    <w:qFormat/>
    <w:uiPriority w:val="0"/>
    <w:rPr>
      <w:kern w:val="2"/>
      <w:sz w:val="21"/>
      <w:szCs w:val="24"/>
    </w:rPr>
  </w:style>
  <w:style w:type="character" w:customStyle="1" w:styleId="39">
    <w:name w:val="日期 字符"/>
    <w:link w:val="16"/>
    <w:qFormat/>
    <w:uiPriority w:val="0"/>
    <w:rPr>
      <w:sz w:val="32"/>
    </w:rPr>
  </w:style>
  <w:style w:type="character" w:customStyle="1" w:styleId="40">
    <w:name w:val="批注主题 字符"/>
    <w:link w:val="24"/>
    <w:qFormat/>
    <w:uiPriority w:val="0"/>
    <w:rPr>
      <w:b/>
      <w:bCs/>
      <w:kern w:val="2"/>
      <w:sz w:val="21"/>
      <w:szCs w:val="24"/>
    </w:rPr>
  </w:style>
  <w:style w:type="paragraph" w:customStyle="1" w:styleId="41">
    <w:name w:val="F正文"/>
    <w:basedOn w:val="1"/>
    <w:qFormat/>
    <w:uiPriority w:val="0"/>
    <w:pPr>
      <w:tabs>
        <w:tab w:val="left" w:pos="3420"/>
      </w:tabs>
      <w:spacing w:line="360" w:lineRule="auto"/>
      <w:ind w:firstLine="200" w:firstLineChars="200"/>
    </w:pPr>
    <w:rPr>
      <w:rFonts w:eastAsia="仿宋_GB2312"/>
      <w:sz w:val="28"/>
      <w:szCs w:val="28"/>
    </w:rPr>
  </w:style>
  <w:style w:type="character" w:customStyle="1" w:styleId="42">
    <w:name w:val="font31"/>
    <w:qFormat/>
    <w:uiPriority w:val="0"/>
    <w:rPr>
      <w:rFonts w:hint="eastAsia" w:ascii="宋体" w:hAnsi="宋体" w:eastAsia="宋体" w:cs="宋体"/>
      <w:color w:val="000000"/>
      <w:sz w:val="24"/>
      <w:szCs w:val="24"/>
      <w:u w:val="none"/>
    </w:rPr>
  </w:style>
  <w:style w:type="paragraph" w:customStyle="1" w:styleId="43">
    <w:name w:val="国环正文"/>
    <w:basedOn w:val="1"/>
    <w:qFormat/>
    <w:uiPriority w:val="0"/>
    <w:pPr>
      <w:ind w:firstLine="200" w:firstLineChars="200"/>
    </w:pPr>
  </w:style>
  <w:style w:type="character" w:customStyle="1" w:styleId="44">
    <w:name w:val="font121"/>
    <w:qFormat/>
    <w:uiPriority w:val="0"/>
    <w:rPr>
      <w:rFonts w:hint="default" w:ascii="Times New Roman" w:hAnsi="Times New Roman" w:cs="Times New Roman"/>
      <w:b/>
      <w:color w:val="000000"/>
      <w:sz w:val="24"/>
      <w:szCs w:val="24"/>
      <w:u w:val="none"/>
    </w:rPr>
  </w:style>
  <w:style w:type="character" w:customStyle="1" w:styleId="45">
    <w:name w:val="font91"/>
    <w:qFormat/>
    <w:uiPriority w:val="0"/>
    <w:rPr>
      <w:rFonts w:hint="eastAsia" w:ascii="仿宋" w:hAnsi="仿宋" w:eastAsia="仿宋" w:cs="仿宋"/>
      <w:b/>
      <w:color w:val="000000"/>
      <w:sz w:val="24"/>
      <w:szCs w:val="24"/>
      <w:u w:val="none"/>
    </w:rPr>
  </w:style>
  <w:style w:type="character" w:customStyle="1" w:styleId="46">
    <w:name w:val="font81"/>
    <w:qFormat/>
    <w:uiPriority w:val="0"/>
    <w:rPr>
      <w:rFonts w:hint="eastAsia" w:ascii="仿宋" w:hAnsi="仿宋" w:eastAsia="仿宋" w:cs="仿宋"/>
      <w:color w:val="000000"/>
      <w:sz w:val="20"/>
      <w:szCs w:val="20"/>
      <w:u w:val="none"/>
    </w:rPr>
  </w:style>
  <w:style w:type="paragraph" w:customStyle="1" w:styleId="47">
    <w:name w:val="修订1"/>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48">
    <w:name w:val="样式 样式 仿宋_GB2312 四号 首行缩进:  0.99 厘米 行距: 1.5 倍行距 + 首行缩进:  2 字符"/>
    <w:basedOn w:val="1"/>
    <w:qFormat/>
    <w:uiPriority w:val="0"/>
    <w:pPr>
      <w:adjustRightInd w:val="0"/>
      <w:spacing w:line="560" w:lineRule="exact"/>
      <w:ind w:firstLine="200" w:firstLineChars="200"/>
      <w:textAlignment w:val="baseline"/>
    </w:pPr>
    <w:rPr>
      <w:rFonts w:ascii="仿宋_GB2312" w:eastAsia="仿宋_GB2312" w:cs="宋体"/>
      <w:kern w:val="0"/>
      <w:sz w:val="28"/>
      <w:szCs w:val="20"/>
    </w:rPr>
  </w:style>
  <w:style w:type="table" w:customStyle="1" w:styleId="49">
    <w:name w:val="Table Normal"/>
    <w:unhideWhenUsed/>
    <w:qFormat/>
    <w:uiPriority w:val="2"/>
    <w:tblPr>
      <w:tblCellMar>
        <w:top w:w="0" w:type="dxa"/>
        <w:left w:w="0" w:type="dxa"/>
        <w:bottom w:w="0" w:type="dxa"/>
        <w:right w:w="0" w:type="dxa"/>
      </w:tblCellMar>
    </w:tblPr>
  </w:style>
  <w:style w:type="paragraph" w:customStyle="1" w:styleId="50">
    <w:name w:val="Table Text"/>
    <w:basedOn w:val="1"/>
    <w:semiHidden/>
    <w:qFormat/>
    <w:uiPriority w:val="0"/>
    <w:pPr>
      <w:spacing w:line="560" w:lineRule="exact"/>
      <w:ind w:firstLine="200" w:firstLineChars="200"/>
    </w:pPr>
    <w:rPr>
      <w:rFonts w:ascii="宋体" w:hAnsi="宋体" w:cs="宋体"/>
      <w:sz w:val="15"/>
      <w:szCs w:val="15"/>
      <w:lang w:eastAsia="en-US"/>
    </w:rPr>
  </w:style>
  <w:style w:type="paragraph" w:customStyle="1" w:styleId="51">
    <w:name w:val="样式 表格 + 红色 行距: 单倍行距"/>
    <w:basedOn w:val="1"/>
    <w:qFormat/>
    <w:uiPriority w:val="0"/>
    <w:pPr>
      <w:adjustRightInd w:val="0"/>
      <w:spacing w:line="0" w:lineRule="atLeast"/>
      <w:jc w:val="center"/>
      <w:textAlignment w:val="baseline"/>
    </w:pPr>
    <w:rPr>
      <w:rFonts w:ascii="楷体_GB2312" w:hAnsi="Arial" w:eastAsia="楷体_GB2312" w:cs="宋体"/>
      <w:kern w:val="0"/>
      <w:szCs w:val="20"/>
    </w:rPr>
  </w:style>
  <w:style w:type="paragraph" w:customStyle="1" w:styleId="52">
    <w:name w:val="专栏标题"/>
    <w:basedOn w:val="1"/>
    <w:qFormat/>
    <w:uiPriority w:val="0"/>
    <w:pPr>
      <w:numPr>
        <w:ilvl w:val="6"/>
        <w:numId w:val="1"/>
      </w:numPr>
    </w:pPr>
  </w:style>
  <w:style w:type="paragraph" w:customStyle="1" w:styleId="53">
    <w:name w:val="表头"/>
    <w:basedOn w:val="1"/>
    <w:qFormat/>
    <w:uiPriority w:val="0"/>
    <w:pPr>
      <w:numPr>
        <w:ilvl w:val="7"/>
        <w:numId w:val="1"/>
      </w:numPr>
    </w:pPr>
  </w:style>
  <w:style w:type="paragraph" w:customStyle="1" w:styleId="54">
    <w:name w:val="图标题"/>
    <w:basedOn w:val="1"/>
    <w:qFormat/>
    <w:uiPriority w:val="0"/>
    <w:pPr>
      <w:numPr>
        <w:ilvl w:val="8"/>
        <w:numId w:val="1"/>
      </w:numPr>
    </w:pPr>
  </w:style>
  <w:style w:type="paragraph" w:customStyle="1" w:styleId="55">
    <w:name w:val="0CJW-表标题"/>
    <w:next w:val="1"/>
    <w:qFormat/>
    <w:uiPriority w:val="0"/>
    <w:pPr>
      <w:spacing w:after="60" w:line="600" w:lineRule="exact"/>
      <w:ind w:firstLine="100" w:firstLineChars="100"/>
      <w:jc w:val="both"/>
      <w:outlineLvl w:val="7"/>
    </w:pPr>
    <w:rPr>
      <w:rFonts w:ascii="黑体" w:hAnsi="Arial" w:eastAsia="黑体" w:cs="Times New Roman"/>
      <w:kern w:val="2"/>
      <w:sz w:val="24"/>
      <w:szCs w:val="22"/>
      <w:lang w:val="en-US" w:eastAsia="zh-CN" w:bidi="ar-SA"/>
    </w:rPr>
  </w:style>
  <w:style w:type="paragraph" w:customStyle="1" w:styleId="56">
    <w:name w:val="标题02"/>
    <w:basedOn w:val="5"/>
    <w:qFormat/>
    <w:uiPriority w:val="0"/>
    <w:pPr>
      <w:numPr>
        <w:ilvl w:val="0"/>
        <w:numId w:val="0"/>
      </w:numPr>
      <w:adjustRightInd w:val="0"/>
      <w:spacing w:before="120" w:after="120"/>
      <w:textAlignment w:val="baseline"/>
    </w:pPr>
    <w:rPr>
      <w:rFonts w:ascii="Arial" w:hAnsi="Arial" w:eastAsia="黑体"/>
      <w:b w:val="0"/>
      <w:bCs/>
      <w:kern w:val="0"/>
      <w:sz w:val="32"/>
    </w:rPr>
  </w:style>
  <w:style w:type="paragraph" w:customStyle="1" w:styleId="57">
    <w:name w:val="0CJW-正文"/>
    <w:qFormat/>
    <w:uiPriority w:val="0"/>
    <w:pPr>
      <w:spacing w:after="160" w:line="600" w:lineRule="exact"/>
      <w:ind w:firstLine="640" w:firstLineChars="200"/>
      <w:jc w:val="both"/>
    </w:pPr>
    <w:rPr>
      <w:rFonts w:ascii="仿宋_GB2312" w:hAnsi="仿宋_GB2312" w:eastAsia="仿宋_GB2312" w:cs="Times New Roman"/>
      <w:kern w:val="2"/>
      <w:sz w:val="32"/>
      <w:szCs w:val="32"/>
      <w:lang w:val="en-US" w:eastAsia="zh-CN" w:bidi="ar-SA"/>
    </w:rPr>
  </w:style>
  <w:style w:type="paragraph" w:customStyle="1" w:styleId="5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9">
    <w:name w:val="font5"/>
    <w:basedOn w:val="1"/>
    <w:qFormat/>
    <w:uiPriority w:val="0"/>
    <w:pPr>
      <w:widowControl/>
      <w:spacing w:before="100" w:beforeAutospacing="1" w:after="100" w:afterAutospacing="1"/>
      <w:jc w:val="left"/>
    </w:pPr>
    <w:rPr>
      <w:rFonts w:ascii="楷体_GB2312" w:hAnsi="宋体" w:eastAsia="楷体_GB2312" w:cs="宋体"/>
      <w:kern w:val="0"/>
      <w:sz w:val="20"/>
      <w:szCs w:val="20"/>
    </w:rPr>
  </w:style>
  <w:style w:type="paragraph" w:customStyle="1" w:styleId="60">
    <w:name w:val="font6"/>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61">
    <w:name w:val="font7"/>
    <w:basedOn w:val="1"/>
    <w:qFormat/>
    <w:uiPriority w:val="0"/>
    <w:pPr>
      <w:widowControl/>
      <w:spacing w:before="100" w:beforeAutospacing="1" w:after="100" w:afterAutospacing="1"/>
      <w:jc w:val="left"/>
    </w:pPr>
    <w:rPr>
      <w:rFonts w:ascii="微软雅黑" w:hAnsi="微软雅黑" w:eastAsia="微软雅黑" w:cs="宋体"/>
      <w:kern w:val="0"/>
      <w:sz w:val="20"/>
      <w:szCs w:val="20"/>
    </w:rPr>
  </w:style>
  <w:style w:type="paragraph" w:customStyle="1" w:styleId="62">
    <w:name w:val="xl6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63">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6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65">
    <w:name w:val="xl7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66">
    <w:name w:val="xl71"/>
    <w:basedOn w:val="1"/>
    <w:qFormat/>
    <w:uiPriority w:val="0"/>
    <w:pPr>
      <w:widowControl/>
      <w:pBdr>
        <w:top w:val="single" w:color="auto" w:sz="4" w:space="0"/>
        <w:bottom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6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6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69">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70">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71">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7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0"/>
      <w:szCs w:val="20"/>
    </w:rPr>
  </w:style>
  <w:style w:type="paragraph" w:customStyle="1" w:styleId="73">
    <w:name w:val="xl7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74">
    <w:name w:val="xl79"/>
    <w:basedOn w:val="1"/>
    <w:qFormat/>
    <w:uiPriority w:val="0"/>
    <w:pPr>
      <w:widowControl/>
      <w:pBdr>
        <w:top w:val="single" w:color="auto" w:sz="4" w:space="0"/>
        <w:bottom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7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0"/>
      <w:szCs w:val="20"/>
    </w:rPr>
  </w:style>
  <w:style w:type="paragraph" w:customStyle="1" w:styleId="7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7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7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79">
    <w:name w:val="xl84"/>
    <w:basedOn w:val="1"/>
    <w:qFormat/>
    <w:uiPriority w:val="0"/>
    <w:pPr>
      <w:widowControl/>
      <w:spacing w:before="100" w:beforeAutospacing="1" w:after="100" w:afterAutospacing="1"/>
      <w:jc w:val="left"/>
    </w:pPr>
    <w:rPr>
      <w:rFonts w:ascii="楷体_GB2312" w:hAnsi="宋体" w:eastAsia="楷体_GB2312" w:cs="宋体"/>
      <w:kern w:val="0"/>
      <w:sz w:val="20"/>
      <w:szCs w:val="20"/>
    </w:rPr>
  </w:style>
  <w:style w:type="paragraph" w:customStyle="1" w:styleId="8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81">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_GB2312" w:hAnsi="宋体" w:eastAsia="仿宋_GB2312" w:cs="宋体"/>
      <w:kern w:val="0"/>
      <w:sz w:val="20"/>
      <w:szCs w:val="20"/>
    </w:rPr>
  </w:style>
  <w:style w:type="paragraph" w:customStyle="1" w:styleId="8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8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84">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8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8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87">
    <w:name w:val="xl9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楷体_GB2312" w:hAnsi="宋体" w:eastAsia="楷体_GB2312" w:cs="宋体"/>
      <w:kern w:val="0"/>
      <w:sz w:val="20"/>
      <w:szCs w:val="20"/>
    </w:rPr>
  </w:style>
  <w:style w:type="paragraph" w:customStyle="1" w:styleId="88">
    <w:name w:val="xl93"/>
    <w:basedOn w:val="1"/>
    <w:qFormat/>
    <w:uiPriority w:val="0"/>
    <w:pPr>
      <w:widowControl/>
      <w:spacing w:before="100" w:beforeAutospacing="1" w:after="100" w:afterAutospacing="1"/>
      <w:jc w:val="center"/>
    </w:pPr>
    <w:rPr>
      <w:rFonts w:ascii="楷体_GB2312" w:hAnsi="宋体" w:eastAsia="楷体_GB2312" w:cs="宋体"/>
      <w:kern w:val="0"/>
      <w:sz w:val="20"/>
      <w:szCs w:val="20"/>
    </w:rPr>
  </w:style>
  <w:style w:type="paragraph" w:customStyle="1" w:styleId="8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90">
    <w:name w:val="xl9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9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92">
    <w:name w:val="xl9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9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9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4"/>
    </w:rPr>
  </w:style>
  <w:style w:type="paragraph" w:customStyle="1" w:styleId="95">
    <w:name w:val="xl10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楷体_GB2312" w:hAnsi="宋体" w:eastAsia="楷体_GB2312" w:cs="宋体"/>
      <w:kern w:val="0"/>
      <w:sz w:val="24"/>
    </w:rPr>
  </w:style>
  <w:style w:type="paragraph" w:customStyle="1" w:styleId="96">
    <w:name w:val="xl10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楷体_GB2312" w:hAnsi="宋体" w:eastAsia="楷体_GB2312" w:cs="宋体"/>
      <w:kern w:val="0"/>
      <w:sz w:val="24"/>
    </w:rPr>
  </w:style>
  <w:style w:type="paragraph" w:customStyle="1" w:styleId="97">
    <w:name w:val="xl102"/>
    <w:basedOn w:val="1"/>
    <w:qFormat/>
    <w:uiPriority w:val="0"/>
    <w:pPr>
      <w:widowControl/>
      <w:pBdr>
        <w:left w:val="single" w:color="auto" w:sz="4" w:space="0"/>
        <w:bottom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98">
    <w:name w:val="xl103"/>
    <w:basedOn w:val="1"/>
    <w:qFormat/>
    <w:uiPriority w:val="0"/>
    <w:pPr>
      <w:widowControl/>
      <w:pBdr>
        <w:bottom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9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0"/>
      <w:szCs w:val="20"/>
    </w:rPr>
  </w:style>
  <w:style w:type="paragraph" w:customStyle="1" w:styleId="10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01">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10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103">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104">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05">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106">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107">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108">
    <w:name w:val="xl113"/>
    <w:basedOn w:val="1"/>
    <w:qFormat/>
    <w:uiPriority w:val="0"/>
    <w:pPr>
      <w:widowControl/>
      <w:spacing w:before="100" w:beforeAutospacing="1" w:after="100" w:afterAutospacing="1"/>
      <w:jc w:val="left"/>
    </w:pPr>
    <w:rPr>
      <w:rFonts w:ascii="楷体_GB2312" w:hAnsi="宋体" w:eastAsia="楷体_GB2312" w:cs="宋体"/>
      <w:kern w:val="0"/>
      <w:sz w:val="20"/>
      <w:szCs w:val="20"/>
    </w:rPr>
  </w:style>
  <w:style w:type="paragraph" w:customStyle="1" w:styleId="109">
    <w:name w:val="xl114"/>
    <w:basedOn w:val="1"/>
    <w:qFormat/>
    <w:uiPriority w:val="0"/>
    <w:pPr>
      <w:widowControl/>
      <w:spacing w:before="100" w:beforeAutospacing="1" w:after="100" w:afterAutospacing="1"/>
      <w:jc w:val="center"/>
    </w:pPr>
    <w:rPr>
      <w:rFonts w:ascii="楷体_GB2312" w:hAnsi="宋体" w:eastAsia="楷体_GB2312" w:cs="宋体"/>
      <w:kern w:val="0"/>
      <w:sz w:val="20"/>
      <w:szCs w:val="20"/>
    </w:rPr>
  </w:style>
  <w:style w:type="paragraph" w:customStyle="1" w:styleId="110">
    <w:name w:val="xl11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11">
    <w:name w:val="xl116"/>
    <w:basedOn w:val="1"/>
    <w:qFormat/>
    <w:uiPriority w:val="0"/>
    <w:pPr>
      <w:widowControl/>
      <w:pBdr>
        <w:top w:val="single" w:color="auto" w:sz="4" w:space="0"/>
        <w:bottom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12">
    <w:name w:val="xl11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13">
    <w:name w:val="xl11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114">
    <w:name w:val="xl119"/>
    <w:basedOn w:val="1"/>
    <w:qFormat/>
    <w:uiPriority w:val="0"/>
    <w:pPr>
      <w:widowControl/>
      <w:pBdr>
        <w:bottom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15">
    <w:name w:val="xl12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116">
    <w:name w:val="xl12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7">
    <w:name w:val="font8"/>
    <w:basedOn w:val="1"/>
    <w:qFormat/>
    <w:uiPriority w:val="0"/>
    <w:pPr>
      <w:widowControl/>
      <w:spacing w:before="100" w:beforeAutospacing="1" w:after="100" w:afterAutospacing="1"/>
      <w:jc w:val="left"/>
    </w:pPr>
    <w:rPr>
      <w:kern w:val="0"/>
      <w:sz w:val="20"/>
      <w:szCs w:val="20"/>
    </w:rPr>
  </w:style>
  <w:style w:type="paragraph" w:customStyle="1" w:styleId="118">
    <w:name w:val="font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9">
    <w:name w:val="font10"/>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font11"/>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21">
    <w:name w:val="font12"/>
    <w:basedOn w:val="1"/>
    <w:qFormat/>
    <w:uiPriority w:val="0"/>
    <w:pPr>
      <w:widowControl/>
      <w:spacing w:before="100" w:beforeAutospacing="1" w:after="100" w:afterAutospacing="1"/>
      <w:jc w:val="left"/>
    </w:pPr>
    <w:rPr>
      <w:rFonts w:ascii="微软雅黑" w:hAnsi="微软雅黑" w:eastAsia="微软雅黑" w:cs="宋体"/>
      <w:kern w:val="0"/>
      <w:sz w:val="20"/>
      <w:szCs w:val="20"/>
    </w:rPr>
  </w:style>
  <w:style w:type="paragraph" w:customStyle="1" w:styleId="122">
    <w:name w:val="xl65"/>
    <w:basedOn w:val="1"/>
    <w:qFormat/>
    <w:uiPriority w:val="0"/>
    <w:pPr>
      <w:widowControl/>
      <w:spacing w:before="100" w:beforeAutospacing="1" w:after="100" w:afterAutospacing="1"/>
      <w:jc w:val="center"/>
    </w:pPr>
    <w:rPr>
      <w:rFonts w:ascii="楷体_GB2312" w:hAnsi="宋体" w:eastAsia="楷体_GB2312" w:cs="宋体"/>
      <w:kern w:val="0"/>
      <w:sz w:val="20"/>
      <w:szCs w:val="20"/>
    </w:rPr>
  </w:style>
  <w:style w:type="paragraph" w:customStyle="1" w:styleId="123">
    <w:name w:val="xl66"/>
    <w:basedOn w:val="1"/>
    <w:qFormat/>
    <w:uiPriority w:val="0"/>
    <w:pPr>
      <w:widowControl/>
      <w:spacing w:before="100" w:beforeAutospacing="1" w:after="100" w:afterAutospacing="1"/>
      <w:jc w:val="left"/>
    </w:pPr>
    <w:rPr>
      <w:rFonts w:ascii="楷体_GB2312" w:hAnsi="宋体" w:eastAsia="楷体_GB2312" w:cs="宋体"/>
      <w:kern w:val="0"/>
      <w:sz w:val="20"/>
      <w:szCs w:val="20"/>
    </w:rPr>
  </w:style>
  <w:style w:type="paragraph" w:customStyle="1" w:styleId="12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4"/>
    </w:rPr>
  </w:style>
  <w:style w:type="paragraph" w:customStyle="1" w:styleId="12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2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27">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12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9">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13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4"/>
    </w:rPr>
  </w:style>
  <w:style w:type="paragraph" w:customStyle="1" w:styleId="131">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32">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3">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0"/>
      <w:szCs w:val="20"/>
    </w:rPr>
  </w:style>
  <w:style w:type="paragraph" w:customStyle="1" w:styleId="134">
    <w:name w:val="xl132"/>
    <w:basedOn w:val="1"/>
    <w:qFormat/>
    <w:uiPriority w:val="0"/>
    <w:pPr>
      <w:widowControl/>
      <w:spacing w:before="100" w:beforeAutospacing="1" w:after="100" w:afterAutospacing="1"/>
      <w:jc w:val="center"/>
    </w:pPr>
    <w:rPr>
      <w:rFonts w:ascii="楷体_GB2312" w:hAnsi="宋体" w:eastAsia="楷体_GB2312" w:cs="宋体"/>
      <w:kern w:val="0"/>
      <w:sz w:val="20"/>
      <w:szCs w:val="20"/>
    </w:rPr>
  </w:style>
  <w:style w:type="paragraph" w:customStyle="1" w:styleId="135">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18"/>
      <w:szCs w:val="18"/>
    </w:rPr>
  </w:style>
  <w:style w:type="paragraph" w:customStyle="1" w:styleId="136">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0"/>
      <w:szCs w:val="20"/>
    </w:rPr>
  </w:style>
  <w:style w:type="paragraph" w:customStyle="1" w:styleId="137">
    <w:name w:val="xl135"/>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138">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18"/>
      <w:szCs w:val="18"/>
    </w:rPr>
  </w:style>
  <w:style w:type="paragraph" w:customStyle="1" w:styleId="141">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2">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3">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144">
    <w:name w:val="xl1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145">
    <w:name w:val="xl14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46">
    <w:name w:val="xl144"/>
    <w:basedOn w:val="1"/>
    <w:qFormat/>
    <w:uiPriority w:val="0"/>
    <w:pPr>
      <w:widowControl/>
      <w:pBdr>
        <w:top w:val="single" w:color="auto" w:sz="4" w:space="0"/>
        <w:bottom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47">
    <w:name w:val="xl14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48">
    <w:name w:val="xl1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49">
    <w:name w:val="xl14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150">
    <w:name w:val="xl148"/>
    <w:basedOn w:val="1"/>
    <w:qFormat/>
    <w:uiPriority w:val="0"/>
    <w:pPr>
      <w:widowControl/>
      <w:pBdr>
        <w:top w:val="single" w:color="auto" w:sz="4" w:space="0"/>
        <w:bottom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151">
    <w:name w:val="xl149"/>
    <w:basedOn w:val="1"/>
    <w:qFormat/>
    <w:uiPriority w:val="0"/>
    <w:pPr>
      <w:widowControl/>
      <w:pBdr>
        <w:left w:val="single" w:color="auto" w:sz="4" w:space="0"/>
        <w:bottom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152">
    <w:name w:val="xl150"/>
    <w:basedOn w:val="1"/>
    <w:qFormat/>
    <w:uiPriority w:val="0"/>
    <w:pPr>
      <w:widowControl/>
      <w:pBdr>
        <w:bottom w:val="single" w:color="auto" w:sz="4" w:space="0"/>
      </w:pBdr>
      <w:spacing w:before="100" w:beforeAutospacing="1" w:after="100" w:afterAutospacing="1"/>
      <w:jc w:val="left"/>
    </w:pPr>
    <w:rPr>
      <w:rFonts w:ascii="楷体_GB2312" w:hAnsi="宋体" w:eastAsia="楷体_GB2312" w:cs="宋体"/>
      <w:b/>
      <w:bCs/>
      <w:kern w:val="0"/>
      <w:sz w:val="20"/>
      <w:szCs w:val="20"/>
    </w:rPr>
  </w:style>
  <w:style w:type="paragraph" w:customStyle="1" w:styleId="153">
    <w:name w:val="xl151"/>
    <w:basedOn w:val="1"/>
    <w:qFormat/>
    <w:uiPriority w:val="0"/>
    <w:pPr>
      <w:widowControl/>
      <w:pBdr>
        <w:top w:val="single" w:color="auto" w:sz="4" w:space="0"/>
        <w:bottom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54">
    <w:name w:val="xl152"/>
    <w:basedOn w:val="1"/>
    <w:qFormat/>
    <w:uiPriority w:val="0"/>
    <w:pPr>
      <w:widowControl/>
      <w:pBdr>
        <w:bottom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55">
    <w:name w:val="xl15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56">
    <w:name w:val="xl15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57">
    <w:name w:val="xl15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58">
    <w:name w:val="xl15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59">
    <w:name w:val="xl157"/>
    <w:basedOn w:val="1"/>
    <w:qFormat/>
    <w:uiPriority w:val="0"/>
    <w:pPr>
      <w:widowControl/>
      <w:pBdr>
        <w:bottom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60">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61">
    <w:name w:val="xl1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62">
    <w:name w:val="xl16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63">
    <w:name w:val="xl16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楷体_GB2312" w:hAnsi="宋体" w:eastAsia="楷体_GB2312" w:cs="宋体"/>
      <w:kern w:val="0"/>
      <w:sz w:val="20"/>
      <w:szCs w:val="20"/>
    </w:rPr>
  </w:style>
  <w:style w:type="paragraph" w:customStyle="1" w:styleId="164">
    <w:name w:val="font13"/>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65">
    <w:name w:val="xl16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66">
    <w:name w:val="xl16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67">
    <w:name w:val="xl16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16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color w:val="FF0000"/>
      <w:kern w:val="0"/>
      <w:sz w:val="20"/>
      <w:szCs w:val="20"/>
    </w:rPr>
  </w:style>
  <w:style w:type="paragraph" w:customStyle="1" w:styleId="169">
    <w:name w:val="font14"/>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170">
    <w:name w:val="font1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71">
    <w:name w:val="修订2"/>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72">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173">
    <w:name w:val="15"/>
    <w:basedOn w:val="29"/>
    <w:qFormat/>
    <w:uiPriority w:val="0"/>
    <w:rPr>
      <w:rFonts w:hint="eastAsia" w:ascii="宋体" w:hAnsi="宋体" w:eastAsia="宋体"/>
      <w:color w:val="000000"/>
      <w:sz w:val="20"/>
      <w:szCs w:val="20"/>
    </w:rPr>
  </w:style>
  <w:style w:type="character" w:customStyle="1" w:styleId="174">
    <w:name w:val="16"/>
    <w:basedOn w:val="29"/>
    <w:qFormat/>
    <w:uiPriority w:val="0"/>
    <w:rPr>
      <w:rFonts w:hint="default" w:ascii="Times New Roman" w:hAnsi="Times New Roman" w:cs="Times New Roman"/>
      <w:color w:val="000000"/>
      <w:sz w:val="20"/>
      <w:szCs w:val="20"/>
    </w:rPr>
  </w:style>
  <w:style w:type="paragraph" w:customStyle="1" w:styleId="175">
    <w:name w:val="修订4"/>
    <w:hidden/>
    <w:unhideWhenUsed/>
    <w:qFormat/>
    <w:uiPriority w:val="99"/>
    <w:rPr>
      <w:rFonts w:ascii="Times New Roman" w:hAnsi="Times New Roman" w:eastAsia="宋体" w:cs="Times New Roman"/>
      <w:kern w:val="2"/>
      <w:sz w:val="21"/>
      <w:szCs w:val="24"/>
      <w:lang w:val="en-US" w:eastAsia="zh-CN" w:bidi="ar-SA"/>
    </w:rPr>
  </w:style>
  <w:style w:type="character" w:customStyle="1" w:styleId="176">
    <w:name w:val="页脚 字符"/>
    <w:basedOn w:val="29"/>
    <w:link w:val="13"/>
    <w:qFormat/>
    <w:uiPriority w:val="99"/>
    <w:rPr>
      <w:kern w:val="2"/>
      <w:sz w:val="18"/>
      <w:szCs w:val="18"/>
    </w:rPr>
  </w:style>
  <w:style w:type="character" w:customStyle="1" w:styleId="177">
    <w:name w:val="批注框文本 字符"/>
    <w:basedOn w:val="29"/>
    <w:link w:val="18"/>
    <w:qFormat/>
    <w:uiPriority w:val="0"/>
    <w:rPr>
      <w:kern w:val="2"/>
      <w:sz w:val="18"/>
      <w:szCs w:val="18"/>
    </w:rPr>
  </w:style>
  <w:style w:type="character" w:customStyle="1" w:styleId="178">
    <w:name w:val="页眉 字符"/>
    <w:link w:val="19"/>
    <w:qFormat/>
    <w:uiPriority w:val="99"/>
    <w:rPr>
      <w:rFonts w:eastAsia="仿宋_GB2312"/>
      <w:kern w:val="2"/>
      <w:sz w:val="18"/>
      <w:szCs w:val="18"/>
    </w:rPr>
  </w:style>
  <w:style w:type="paragraph" w:customStyle="1" w:styleId="179">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80">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181">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182">
    <w:name w:val="样式8"/>
    <w:basedOn w:val="1"/>
    <w:qFormat/>
    <w:uiPriority w:val="0"/>
    <w:pPr>
      <w:ind w:firstLine="560" w:firstLineChars="200"/>
    </w:pPr>
    <w:rPr>
      <w:rFonts w:hint="eastAsia" w:ascii="Times New Roman" w:hAnsi="Times New Roman" w:eastAsia="仿宋" w:cs="Times New Roman"/>
      <w:sz w:val="28"/>
      <w:szCs w:val="28"/>
    </w:rPr>
  </w:style>
  <w:style w:type="paragraph" w:customStyle="1" w:styleId="183">
    <w:name w:val="样式4"/>
    <w:basedOn w:val="9"/>
    <w:qFormat/>
    <w:uiPriority w:val="0"/>
    <w:pPr>
      <w:ind w:firstLine="480" w:firstLineChars="200"/>
    </w:pPr>
    <w:rPr>
      <w:color w:val="000000"/>
      <w:kern w:val="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theme" Target="theme/theme1.xml"/><Relationship Id="rId16" Type="http://schemas.openxmlformats.org/officeDocument/2006/relationships/footer" Target="footer5.xml"/><Relationship Id="rId15" Type="http://schemas.openxmlformats.org/officeDocument/2006/relationships/footer" Target="footer4.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2F304-E0DB-4ED8-92A8-BE9C0F87351E}">
  <ds:schemaRefs/>
</ds:datastoreItem>
</file>

<file path=docProps/app.xml><?xml version="1.0" encoding="utf-8"?>
<Properties xmlns="http://schemas.openxmlformats.org/officeDocument/2006/extended-properties" xmlns:vt="http://schemas.openxmlformats.org/officeDocument/2006/docPropsVTypes">
  <Template>Normal</Template>
  <Pages>39</Pages>
  <Words>18308</Words>
  <Characters>18817</Characters>
  <Lines>189</Lines>
  <Paragraphs>53</Paragraphs>
  <TotalTime>6</TotalTime>
  <ScaleCrop>false</ScaleCrop>
  <LinksUpToDate>false</LinksUpToDate>
  <CharactersWithSpaces>18929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2026-05-09T09:09:00Z</dcterms:created>
  <dc:creator>Xiaolei ZOU</dc:creator>
  <cp:lastModifiedBy>user</cp:lastModifiedBy>
  <cp:lastPrinted>2026-04-29T10:09:00Z</cp:lastPrinted>
  <dcterms:modified xsi:type="dcterms:W3CDTF">2026-08-27T16:35:42Z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eyJoZGlkIjoiYmQ2NzJiNTEyOWMwODU2YjM2ODk3NDQ3Nzg2NjE1ZjkiLCJ1c2VySWQiOiI4Nzk3MTMzNDEifQ==</vt:lpwstr>
  </property>
  <property fmtid="{D5CDD505-2E9C-101B-9397-08002B2CF9AE}" pid="4" name="ICV">
    <vt:lpwstr>449F19E830B74D7A812B0DCF0D5D8E11_13</vt:lpwstr>
  </property>
</Properties>
</file>