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B9B08">
      <w:pPr>
        <w:widowControl/>
        <w:spacing w:before="100" w:beforeAutospacing="1" w:after="100" w:afterAutospacing="1" w:line="160" w:lineRule="atLeast"/>
        <w:jc w:val="left"/>
        <w:rPr>
          <w:b/>
          <w:sz w:val="32"/>
          <w:szCs w:val="32"/>
        </w:rPr>
      </w:pPr>
      <w:r>
        <w:rPr>
          <w:rFonts w:hint="eastAsia"/>
          <w:b/>
          <w:sz w:val="32"/>
          <w:szCs w:val="32"/>
        </w:rPr>
        <w:t>附件</w:t>
      </w:r>
      <w:r>
        <w:rPr>
          <w:b/>
          <w:sz w:val="32"/>
          <w:szCs w:val="32"/>
        </w:rPr>
        <w:t>1</w:t>
      </w:r>
      <w:r>
        <w:rPr>
          <w:rFonts w:hint="eastAsia"/>
          <w:b/>
          <w:sz w:val="32"/>
          <w:szCs w:val="32"/>
        </w:rPr>
        <w:t>：</w:t>
      </w:r>
      <w:r>
        <w:rPr>
          <w:b/>
          <w:sz w:val="32"/>
          <w:szCs w:val="32"/>
        </w:rPr>
        <w:t xml:space="preserve">                   </w:t>
      </w:r>
    </w:p>
    <w:p w14:paraId="047B05D3">
      <w:pPr>
        <w:widowControl/>
        <w:spacing w:before="100" w:beforeAutospacing="1" w:after="100" w:afterAutospacing="1" w:line="160" w:lineRule="atLeast"/>
        <w:jc w:val="center"/>
        <w:rPr>
          <w:rFonts w:ascii="宋体-方正超大字符集" w:eastAsia="宋体-方正超大字符集"/>
          <w:b/>
          <w:color w:val="000000"/>
          <w:sz w:val="18"/>
          <w:szCs w:val="18"/>
        </w:rPr>
      </w:pPr>
      <w:r>
        <w:rPr>
          <w:rFonts w:hint="eastAsia"/>
          <w:b/>
          <w:sz w:val="32"/>
          <w:szCs w:val="32"/>
        </w:rPr>
        <w:t>乐山市沙湾区中泰矿业有限公司龙口山采矿点</w:t>
      </w:r>
      <w:r>
        <w:rPr>
          <w:rFonts w:hint="eastAsia"/>
          <w:b/>
          <w:sz w:val="32"/>
          <w:szCs w:val="32"/>
          <w:lang w:val="en-US" w:eastAsia="zh-CN"/>
        </w:rPr>
        <w:t>新增资源储量出让收益评</w:t>
      </w:r>
      <w:r>
        <w:rPr>
          <w:b/>
          <w:color w:val="000000"/>
          <w:sz w:val="32"/>
          <w:szCs w:val="32"/>
        </w:rPr>
        <w:t>估</w:t>
      </w:r>
      <w:r>
        <w:rPr>
          <w:rFonts w:hint="eastAsia"/>
          <w:b/>
          <w:color w:val="000000"/>
          <w:sz w:val="32"/>
          <w:szCs w:val="32"/>
        </w:rPr>
        <w:t>项目基本信息表</w:t>
      </w:r>
    </w:p>
    <w:tbl>
      <w:tblPr>
        <w:tblStyle w:val="5"/>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697"/>
        <w:gridCol w:w="1415"/>
        <w:gridCol w:w="4608"/>
        <w:gridCol w:w="2765"/>
        <w:gridCol w:w="1846"/>
      </w:tblGrid>
      <w:tr w14:paraId="40C1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rPr>
        <w:tc>
          <w:tcPr>
            <w:tcW w:w="287" w:type="pct"/>
            <w:vAlign w:val="center"/>
          </w:tcPr>
          <w:p w14:paraId="2A4CB1CD">
            <w:pPr>
              <w:jc w:val="center"/>
              <w:rPr>
                <w:sz w:val="24"/>
              </w:rPr>
            </w:pPr>
            <w:r>
              <w:rPr>
                <w:rFonts w:hint="eastAsia"/>
                <w:sz w:val="24"/>
              </w:rPr>
              <w:t>项目</w:t>
            </w:r>
          </w:p>
          <w:p w14:paraId="213EA780">
            <w:pPr>
              <w:jc w:val="center"/>
              <w:rPr>
                <w:sz w:val="24"/>
              </w:rPr>
            </w:pPr>
            <w:r>
              <w:rPr>
                <w:rFonts w:hint="eastAsia"/>
                <w:sz w:val="24"/>
              </w:rPr>
              <w:t>编号</w:t>
            </w:r>
          </w:p>
        </w:tc>
        <w:tc>
          <w:tcPr>
            <w:tcW w:w="953" w:type="pct"/>
            <w:vAlign w:val="center"/>
          </w:tcPr>
          <w:p w14:paraId="1C3B7B82">
            <w:pPr>
              <w:jc w:val="center"/>
              <w:rPr>
                <w:rFonts w:hint="default" w:eastAsia="宋体"/>
                <w:sz w:val="24"/>
                <w:lang w:val="en-US" w:eastAsia="zh-CN"/>
              </w:rPr>
            </w:pPr>
            <w:r>
              <w:rPr>
                <w:rFonts w:hint="eastAsia"/>
                <w:sz w:val="24"/>
                <w:lang w:val="en-US" w:eastAsia="zh-CN"/>
              </w:rPr>
              <w:t>项目名称</w:t>
            </w:r>
          </w:p>
        </w:tc>
        <w:tc>
          <w:tcPr>
            <w:tcW w:w="500" w:type="pct"/>
            <w:vAlign w:val="center"/>
          </w:tcPr>
          <w:p w14:paraId="5BEC82B0">
            <w:pPr>
              <w:jc w:val="center"/>
              <w:rPr>
                <w:sz w:val="24"/>
              </w:rPr>
            </w:pPr>
            <w:r>
              <w:rPr>
                <w:rFonts w:hint="eastAsia"/>
                <w:sz w:val="24"/>
              </w:rPr>
              <w:t>评估矿种</w:t>
            </w:r>
          </w:p>
        </w:tc>
        <w:tc>
          <w:tcPr>
            <w:tcW w:w="1628" w:type="pct"/>
            <w:vAlign w:val="center"/>
          </w:tcPr>
          <w:p w14:paraId="5E3E6E9C">
            <w:pPr>
              <w:jc w:val="center"/>
              <w:rPr>
                <w:sz w:val="24"/>
              </w:rPr>
            </w:pPr>
            <w:r>
              <w:rPr>
                <w:rFonts w:hint="eastAsia"/>
                <w:sz w:val="24"/>
              </w:rPr>
              <w:t>评估依据</w:t>
            </w:r>
          </w:p>
          <w:p w14:paraId="344981AF">
            <w:pPr>
              <w:jc w:val="center"/>
              <w:rPr>
                <w:sz w:val="24"/>
              </w:rPr>
            </w:pPr>
            <w:r>
              <w:rPr>
                <w:rFonts w:hint="eastAsia"/>
                <w:sz w:val="24"/>
              </w:rPr>
              <w:t>（已评审地质报告名称）</w:t>
            </w:r>
          </w:p>
        </w:tc>
        <w:tc>
          <w:tcPr>
            <w:tcW w:w="977" w:type="pct"/>
            <w:vAlign w:val="center"/>
          </w:tcPr>
          <w:p w14:paraId="475E64B8">
            <w:pPr>
              <w:jc w:val="center"/>
              <w:rPr>
                <w:rFonts w:hint="default" w:eastAsia="宋体"/>
                <w:sz w:val="24"/>
                <w:lang w:val="en-US" w:eastAsia="zh-CN"/>
              </w:rPr>
            </w:pPr>
            <w:r>
              <w:rPr>
                <w:rFonts w:hint="eastAsia"/>
                <w:sz w:val="24"/>
                <w:lang w:val="en-US" w:eastAsia="zh-CN"/>
              </w:rPr>
              <w:t>新增资源储量</w:t>
            </w:r>
          </w:p>
        </w:tc>
        <w:tc>
          <w:tcPr>
            <w:tcW w:w="652" w:type="pct"/>
            <w:vAlign w:val="center"/>
          </w:tcPr>
          <w:p w14:paraId="4FC6812D">
            <w:pPr>
              <w:jc w:val="center"/>
              <w:rPr>
                <w:sz w:val="24"/>
              </w:rPr>
            </w:pPr>
            <w:r>
              <w:rPr>
                <w:rFonts w:hint="eastAsia"/>
                <w:sz w:val="24"/>
              </w:rPr>
              <w:t>评估费</w:t>
            </w:r>
          </w:p>
        </w:tc>
      </w:tr>
      <w:tr w14:paraId="66B7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7" w:type="pct"/>
            <w:vAlign w:val="center"/>
          </w:tcPr>
          <w:p w14:paraId="2D52A459">
            <w:pPr>
              <w:jc w:val="center"/>
              <w:rPr>
                <w:sz w:val="24"/>
              </w:rPr>
            </w:pPr>
          </w:p>
          <w:p w14:paraId="6C7EC7B7">
            <w:pPr>
              <w:jc w:val="center"/>
              <w:rPr>
                <w:sz w:val="24"/>
              </w:rPr>
            </w:pPr>
            <w:r>
              <w:rPr>
                <w:sz w:val="24"/>
              </w:rPr>
              <w:t>1</w:t>
            </w:r>
          </w:p>
          <w:p w14:paraId="5B4710BC">
            <w:pPr>
              <w:jc w:val="center"/>
              <w:rPr>
                <w:sz w:val="24"/>
              </w:rPr>
            </w:pPr>
          </w:p>
        </w:tc>
        <w:tc>
          <w:tcPr>
            <w:tcW w:w="953" w:type="pct"/>
            <w:vAlign w:val="center"/>
          </w:tcPr>
          <w:p w14:paraId="1F3C62EC">
            <w:pPr>
              <w:jc w:val="center"/>
              <w:rPr>
                <w:rFonts w:hint="default" w:eastAsia="宋体"/>
                <w:sz w:val="24"/>
                <w:lang w:val="en-US" w:eastAsia="zh-CN"/>
              </w:rPr>
            </w:pPr>
            <w:r>
              <w:rPr>
                <w:rFonts w:hint="eastAsia"/>
                <w:sz w:val="24"/>
                <w:lang w:val="en-US" w:eastAsia="zh-CN"/>
              </w:rPr>
              <w:t>乐山市沙湾区中泰矿业有限公司龙口山采矿点新增资源储量出让收益评估</w:t>
            </w:r>
          </w:p>
        </w:tc>
        <w:tc>
          <w:tcPr>
            <w:tcW w:w="500" w:type="pct"/>
            <w:vAlign w:val="center"/>
          </w:tcPr>
          <w:p w14:paraId="0E58E747">
            <w:pPr>
              <w:jc w:val="center"/>
              <w:rPr>
                <w:rFonts w:hint="default" w:eastAsia="宋体"/>
                <w:sz w:val="24"/>
                <w:lang w:val="en-US" w:eastAsia="zh-CN"/>
              </w:rPr>
            </w:pPr>
            <w:r>
              <w:rPr>
                <w:rFonts w:hint="eastAsia"/>
                <w:sz w:val="24"/>
                <w:lang w:val="en-US" w:eastAsia="zh-CN"/>
              </w:rPr>
              <w:t>水泥配料用砂岩</w:t>
            </w:r>
          </w:p>
        </w:tc>
        <w:tc>
          <w:tcPr>
            <w:tcW w:w="1628" w:type="pct"/>
            <w:vAlign w:val="center"/>
          </w:tcPr>
          <w:p w14:paraId="0C67F657">
            <w:pPr>
              <w:jc w:val="center"/>
              <w:rPr>
                <w:rFonts w:hint="default"/>
                <w:sz w:val="24"/>
                <w:lang w:val="en-US"/>
              </w:rPr>
            </w:pPr>
            <w:r>
              <w:rPr>
                <w:rFonts w:hint="eastAsia"/>
                <w:sz w:val="24"/>
                <w:lang w:val="en-US" w:eastAsia="zh-CN"/>
              </w:rPr>
              <w:t>乐山市沙湾区中泰矿业有限公司龙口山采矿点储量核实报告等地质储量资料</w:t>
            </w:r>
          </w:p>
        </w:tc>
        <w:tc>
          <w:tcPr>
            <w:tcW w:w="977" w:type="pct"/>
            <w:vAlign w:val="center"/>
          </w:tcPr>
          <w:p w14:paraId="4F69B778">
            <w:pPr>
              <w:jc w:val="center"/>
              <w:rPr>
                <w:rFonts w:hint="default"/>
                <w:sz w:val="24"/>
                <w:lang w:val="en-US"/>
              </w:rPr>
            </w:pPr>
            <w:r>
              <w:rPr>
                <w:rFonts w:hint="eastAsia"/>
                <w:color w:val="000000" w:themeColor="text1"/>
                <w:sz w:val="24"/>
                <w:lang w:val="en-US" w:eastAsia="zh-CN"/>
                <w14:textFill>
                  <w14:solidFill>
                    <w14:schemeClr w14:val="tx1"/>
                  </w14:solidFill>
                </w14:textFill>
              </w:rPr>
              <w:t>130.7万吨</w:t>
            </w:r>
          </w:p>
        </w:tc>
        <w:tc>
          <w:tcPr>
            <w:tcW w:w="652" w:type="pct"/>
            <w:vAlign w:val="center"/>
          </w:tcPr>
          <w:p w14:paraId="65DBB65F">
            <w:pPr>
              <w:jc w:val="center"/>
              <w:rPr>
                <w:sz w:val="24"/>
              </w:rPr>
            </w:pPr>
            <w:r>
              <w:rPr>
                <w:rFonts w:hint="eastAsia"/>
                <w:sz w:val="24"/>
                <w:lang w:val="en-US" w:eastAsia="zh-CN"/>
              </w:rPr>
              <w:t>1.8</w:t>
            </w:r>
            <w:r>
              <w:rPr>
                <w:rFonts w:hint="eastAsia"/>
                <w:sz w:val="24"/>
              </w:rPr>
              <w:t>万元</w:t>
            </w:r>
          </w:p>
        </w:tc>
      </w:tr>
    </w:tbl>
    <w:p w14:paraId="23964E7E">
      <w:pPr>
        <w:ind w:firstLine="10680" w:firstLineChars="4450"/>
        <w:rPr>
          <w:sz w:val="24"/>
        </w:rPr>
      </w:pPr>
      <w:bookmarkStart w:id="0" w:name="_GoBack"/>
      <w:bookmarkEnd w:id="0"/>
    </w:p>
    <w:sectPr>
      <w:headerReference r:id="rId3"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19E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D9"/>
    <w:rsid w:val="0004259D"/>
    <w:rsid w:val="00092011"/>
    <w:rsid w:val="000925A6"/>
    <w:rsid w:val="000C1A4C"/>
    <w:rsid w:val="00107987"/>
    <w:rsid w:val="00120E64"/>
    <w:rsid w:val="00130066"/>
    <w:rsid w:val="001401AB"/>
    <w:rsid w:val="00146D7A"/>
    <w:rsid w:val="00160A96"/>
    <w:rsid w:val="00171BBE"/>
    <w:rsid w:val="001A06C1"/>
    <w:rsid w:val="001A45F5"/>
    <w:rsid w:val="001A5A70"/>
    <w:rsid w:val="001B2902"/>
    <w:rsid w:val="00205C10"/>
    <w:rsid w:val="00210F9A"/>
    <w:rsid w:val="002110F8"/>
    <w:rsid w:val="00261A1F"/>
    <w:rsid w:val="00272383"/>
    <w:rsid w:val="00287104"/>
    <w:rsid w:val="002B3FB7"/>
    <w:rsid w:val="002E7847"/>
    <w:rsid w:val="002F03E4"/>
    <w:rsid w:val="00311674"/>
    <w:rsid w:val="003513B4"/>
    <w:rsid w:val="003628C2"/>
    <w:rsid w:val="00381F88"/>
    <w:rsid w:val="00387C47"/>
    <w:rsid w:val="003D216C"/>
    <w:rsid w:val="003E2BC2"/>
    <w:rsid w:val="003E7B9B"/>
    <w:rsid w:val="00415850"/>
    <w:rsid w:val="00473348"/>
    <w:rsid w:val="005257AF"/>
    <w:rsid w:val="00550922"/>
    <w:rsid w:val="00573933"/>
    <w:rsid w:val="0058113E"/>
    <w:rsid w:val="0061645A"/>
    <w:rsid w:val="00646228"/>
    <w:rsid w:val="00655FCD"/>
    <w:rsid w:val="00656497"/>
    <w:rsid w:val="00672B77"/>
    <w:rsid w:val="006A5904"/>
    <w:rsid w:val="006E79D4"/>
    <w:rsid w:val="00717281"/>
    <w:rsid w:val="00723373"/>
    <w:rsid w:val="007350B3"/>
    <w:rsid w:val="00751092"/>
    <w:rsid w:val="007A034C"/>
    <w:rsid w:val="007C2647"/>
    <w:rsid w:val="007C750E"/>
    <w:rsid w:val="007C77BB"/>
    <w:rsid w:val="008150BF"/>
    <w:rsid w:val="008339AB"/>
    <w:rsid w:val="00891E18"/>
    <w:rsid w:val="008C6A25"/>
    <w:rsid w:val="008D6299"/>
    <w:rsid w:val="0090308D"/>
    <w:rsid w:val="00905D8E"/>
    <w:rsid w:val="00941B22"/>
    <w:rsid w:val="009440D3"/>
    <w:rsid w:val="00945573"/>
    <w:rsid w:val="0096363F"/>
    <w:rsid w:val="00987E1D"/>
    <w:rsid w:val="009E6280"/>
    <w:rsid w:val="009F4BE5"/>
    <w:rsid w:val="00A07370"/>
    <w:rsid w:val="00A61C5C"/>
    <w:rsid w:val="00AC730C"/>
    <w:rsid w:val="00AE5D7B"/>
    <w:rsid w:val="00AE6A29"/>
    <w:rsid w:val="00B0193C"/>
    <w:rsid w:val="00B165D9"/>
    <w:rsid w:val="00B1719F"/>
    <w:rsid w:val="00B264FA"/>
    <w:rsid w:val="00B459C7"/>
    <w:rsid w:val="00B87B66"/>
    <w:rsid w:val="00BC5179"/>
    <w:rsid w:val="00BF26F7"/>
    <w:rsid w:val="00BF6119"/>
    <w:rsid w:val="00C11B30"/>
    <w:rsid w:val="00C40000"/>
    <w:rsid w:val="00C41793"/>
    <w:rsid w:val="00C513BE"/>
    <w:rsid w:val="00C70954"/>
    <w:rsid w:val="00C73AAD"/>
    <w:rsid w:val="00C7724D"/>
    <w:rsid w:val="00CB315A"/>
    <w:rsid w:val="00CE38C1"/>
    <w:rsid w:val="00D21E0E"/>
    <w:rsid w:val="00D42C36"/>
    <w:rsid w:val="00DB08B1"/>
    <w:rsid w:val="00DB4F29"/>
    <w:rsid w:val="00DC40F8"/>
    <w:rsid w:val="00DE1590"/>
    <w:rsid w:val="00DE25A0"/>
    <w:rsid w:val="00DF21E3"/>
    <w:rsid w:val="00E00082"/>
    <w:rsid w:val="00E0420E"/>
    <w:rsid w:val="00E55BD4"/>
    <w:rsid w:val="00EB6ADD"/>
    <w:rsid w:val="00ED6210"/>
    <w:rsid w:val="00EF0154"/>
    <w:rsid w:val="00EF6E5E"/>
    <w:rsid w:val="00F04D4B"/>
    <w:rsid w:val="00F2123D"/>
    <w:rsid w:val="00F4351B"/>
    <w:rsid w:val="00F545FA"/>
    <w:rsid w:val="0BA852CC"/>
    <w:rsid w:val="139D0486"/>
    <w:rsid w:val="2130039E"/>
    <w:rsid w:val="276226D2"/>
    <w:rsid w:val="31227230"/>
    <w:rsid w:val="3D6550B9"/>
    <w:rsid w:val="50BF4CDF"/>
    <w:rsid w:val="539F6FDF"/>
    <w:rsid w:val="578C08C9"/>
    <w:rsid w:val="5EEE4E96"/>
    <w:rsid w:val="71D77F91"/>
    <w:rsid w:val="7A756F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0"/>
      <w:szCs w:val="0"/>
    </w:rPr>
  </w:style>
  <w:style w:type="character" w:customStyle="1" w:styleId="9">
    <w:name w:val="页眉 Char"/>
    <w:basedOn w:val="7"/>
    <w:link w:val="4"/>
    <w:qFormat/>
    <w:locked/>
    <w:uiPriority w:val="99"/>
    <w:rPr>
      <w:rFonts w:cs="Times New Roman"/>
      <w:kern w:val="2"/>
      <w:sz w:val="18"/>
      <w:szCs w:val="18"/>
    </w:rPr>
  </w:style>
  <w:style w:type="character" w:customStyle="1" w:styleId="10">
    <w:name w:val="页脚 Char"/>
    <w:basedOn w:val="7"/>
    <w:link w:val="3"/>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1</Pages>
  <Words>156</Words>
  <Characters>162</Characters>
  <Lines>3</Lines>
  <Paragraphs>1</Paragraphs>
  <TotalTime>28</TotalTime>
  <ScaleCrop>false</ScaleCrop>
  <LinksUpToDate>false</LinksUpToDate>
  <CharactersWithSpaces>181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2018-12-19T02:46:00Z</dcterms:created>
  <dc:creator>番茄花园</dc:creator>
  <cp:lastModifiedBy>开心果</cp:lastModifiedBy>
  <cp:lastPrinted>2014-11-21T00:53:00Z</cp:lastPrinted>
  <dcterms:modified xsi:type="dcterms:W3CDTF">2025-06-16T06:43:45Z</dcterms:modified>
  <dc:title>附件1：                   乐山市2009年第二批采矿权评估项目基本信息</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eyJoZGlkIjoiNDA2YzEzMmI3MDg3NjNhYjQwNDliNjVlNjE1YTY5N2MiLCJ1c2VySWQiOiIyNzE0OTY0MTMifQ==</vt:lpwstr>
  </property>
  <property fmtid="{D5CDD505-2E9C-101B-9397-08002B2CF9AE}" pid="4" name="ICV">
    <vt:lpwstr>4FB71DEB0C834DC19FE39DBDFB57C24A_13</vt:lpwstr>
  </property>
</Properties>
</file>